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C853" w14:textId="38558AF5" w:rsidR="00E378A6" w:rsidRPr="00E378A6" w:rsidRDefault="00E378A6" w:rsidP="00E378A6">
      <w:pPr>
        <w:pBdr>
          <w:bottom w:val="single" w:sz="12" w:space="1" w:color="auto"/>
        </w:pBdr>
        <w:jc w:val="center"/>
        <w:rPr>
          <w:b/>
          <w:lang w:eastAsia="en-US"/>
        </w:rPr>
      </w:pPr>
      <w:r w:rsidRPr="00E378A6">
        <w:rPr>
          <w:b/>
          <w:lang w:eastAsia="en-US"/>
        </w:rPr>
        <w:t xml:space="preserve">OPĆINA </w:t>
      </w:r>
      <w:r>
        <w:rPr>
          <w:b/>
          <w:lang w:eastAsia="en-US"/>
        </w:rPr>
        <w:t>GORNJA STUBICA</w:t>
      </w:r>
    </w:p>
    <w:p w14:paraId="3893FFEE" w14:textId="77777777" w:rsidR="00E378A6" w:rsidRDefault="00E378A6" w:rsidP="00E378A6">
      <w:pPr>
        <w:rPr>
          <w:b/>
          <w:lang w:eastAsia="en-US"/>
        </w:rPr>
      </w:pPr>
    </w:p>
    <w:p w14:paraId="6B774CA0" w14:textId="124A7688" w:rsidR="00E378A6" w:rsidRPr="00E378A6" w:rsidRDefault="00E378A6" w:rsidP="00E378A6">
      <w:pPr>
        <w:rPr>
          <w:bCs/>
          <w:lang w:eastAsia="en-US"/>
        </w:rPr>
      </w:pPr>
      <w:r w:rsidRPr="00E378A6">
        <w:rPr>
          <w:bCs/>
          <w:lang w:eastAsia="en-US"/>
        </w:rPr>
        <w:t>KLASA:</w:t>
      </w:r>
      <w:r w:rsidR="008362F9">
        <w:rPr>
          <w:bCs/>
          <w:lang w:eastAsia="en-US"/>
        </w:rPr>
        <w:t xml:space="preserve"> </w:t>
      </w:r>
      <w:r w:rsidR="00136119">
        <w:rPr>
          <w:bCs/>
          <w:lang w:eastAsia="en-US"/>
        </w:rPr>
        <w:t>400-02/25-01/001</w:t>
      </w:r>
    </w:p>
    <w:p w14:paraId="1F53B6C3" w14:textId="75CEA61D" w:rsidR="00E378A6" w:rsidRPr="00E378A6" w:rsidRDefault="00E378A6" w:rsidP="00E378A6">
      <w:pPr>
        <w:rPr>
          <w:bCs/>
          <w:lang w:eastAsia="en-US"/>
        </w:rPr>
      </w:pPr>
      <w:r w:rsidRPr="00E378A6">
        <w:rPr>
          <w:bCs/>
          <w:lang w:eastAsia="en-US"/>
        </w:rPr>
        <w:t>URBROJ:</w:t>
      </w:r>
      <w:r w:rsidR="00136119">
        <w:rPr>
          <w:bCs/>
          <w:lang w:eastAsia="en-US"/>
        </w:rPr>
        <w:t xml:space="preserve"> 2140-12-04/01-25-1</w:t>
      </w:r>
    </w:p>
    <w:p w14:paraId="20CE16E5" w14:textId="77777777" w:rsidR="00E378A6" w:rsidRPr="00E378A6" w:rsidRDefault="00E378A6" w:rsidP="00E378A6">
      <w:pPr>
        <w:jc w:val="center"/>
        <w:rPr>
          <w:b/>
          <w:lang w:eastAsia="en-US"/>
        </w:rPr>
      </w:pPr>
    </w:p>
    <w:p w14:paraId="1D5102F8" w14:textId="77777777" w:rsidR="00E378A6" w:rsidRPr="00E378A6" w:rsidRDefault="00E378A6" w:rsidP="00E378A6">
      <w:pPr>
        <w:jc w:val="center"/>
        <w:rPr>
          <w:b/>
          <w:lang w:eastAsia="en-US"/>
        </w:rPr>
      </w:pPr>
    </w:p>
    <w:p w14:paraId="47EBAB47" w14:textId="77777777" w:rsidR="00E378A6" w:rsidRPr="00E378A6" w:rsidRDefault="00E378A6" w:rsidP="00E378A6">
      <w:pPr>
        <w:jc w:val="center"/>
        <w:rPr>
          <w:b/>
          <w:lang w:eastAsia="en-US"/>
        </w:rPr>
      </w:pPr>
    </w:p>
    <w:p w14:paraId="37168BB3" w14:textId="77777777" w:rsidR="00E378A6" w:rsidRPr="00E378A6" w:rsidRDefault="00E378A6" w:rsidP="00E378A6">
      <w:pPr>
        <w:jc w:val="center"/>
        <w:rPr>
          <w:b/>
          <w:lang w:eastAsia="en-US"/>
        </w:rPr>
      </w:pPr>
    </w:p>
    <w:p w14:paraId="76FA21BF" w14:textId="77777777" w:rsidR="00E378A6" w:rsidRPr="00E378A6" w:rsidRDefault="00E378A6" w:rsidP="00E378A6">
      <w:pPr>
        <w:jc w:val="center"/>
        <w:rPr>
          <w:b/>
          <w:lang w:eastAsia="en-US"/>
        </w:rPr>
      </w:pPr>
    </w:p>
    <w:p w14:paraId="74EDA6C7" w14:textId="77777777" w:rsidR="00E378A6" w:rsidRPr="00E378A6" w:rsidRDefault="00E378A6" w:rsidP="00E378A6">
      <w:pPr>
        <w:jc w:val="center"/>
        <w:rPr>
          <w:b/>
          <w:lang w:eastAsia="en-US"/>
        </w:rPr>
      </w:pPr>
    </w:p>
    <w:p w14:paraId="5C240D03" w14:textId="77777777" w:rsidR="00E378A6" w:rsidRPr="00E378A6" w:rsidRDefault="00E378A6" w:rsidP="00E378A6">
      <w:pPr>
        <w:jc w:val="center"/>
        <w:rPr>
          <w:b/>
          <w:lang w:eastAsia="en-US"/>
        </w:rPr>
      </w:pPr>
    </w:p>
    <w:p w14:paraId="6E141B81" w14:textId="77777777" w:rsidR="00E378A6" w:rsidRPr="00E378A6" w:rsidRDefault="00E378A6" w:rsidP="00E378A6">
      <w:pPr>
        <w:jc w:val="center"/>
        <w:rPr>
          <w:b/>
          <w:lang w:eastAsia="en-US"/>
        </w:rPr>
      </w:pPr>
    </w:p>
    <w:p w14:paraId="147027E4" w14:textId="77777777" w:rsidR="00E378A6" w:rsidRPr="00E378A6" w:rsidRDefault="00E378A6" w:rsidP="00E378A6">
      <w:pPr>
        <w:jc w:val="center"/>
        <w:rPr>
          <w:b/>
          <w:lang w:eastAsia="en-US"/>
        </w:rPr>
      </w:pPr>
    </w:p>
    <w:p w14:paraId="2DB70B67" w14:textId="77777777" w:rsidR="00E378A6" w:rsidRDefault="00E378A6" w:rsidP="00E378A6">
      <w:pPr>
        <w:autoSpaceDE w:val="0"/>
        <w:autoSpaceDN w:val="0"/>
        <w:adjustRightInd w:val="0"/>
        <w:rPr>
          <w:rFonts w:eastAsia="Aptos"/>
          <w:color w:val="000000"/>
          <w:lang w:eastAsia="en-US"/>
        </w:rPr>
      </w:pPr>
    </w:p>
    <w:p w14:paraId="52B6B918" w14:textId="77777777" w:rsidR="00DC62AD" w:rsidRPr="00E378A6" w:rsidRDefault="00DC62AD" w:rsidP="00E378A6">
      <w:pPr>
        <w:autoSpaceDE w:val="0"/>
        <w:autoSpaceDN w:val="0"/>
        <w:adjustRightInd w:val="0"/>
        <w:rPr>
          <w:rFonts w:eastAsia="Aptos"/>
          <w:color w:val="000000"/>
          <w:lang w:eastAsia="en-US"/>
        </w:rPr>
      </w:pPr>
    </w:p>
    <w:p w14:paraId="634F060E" w14:textId="44AFAE2E" w:rsidR="00E378A6" w:rsidRPr="00E378A6" w:rsidRDefault="00E378A6" w:rsidP="00DC62AD">
      <w:pPr>
        <w:autoSpaceDE w:val="0"/>
        <w:autoSpaceDN w:val="0"/>
        <w:adjustRightInd w:val="0"/>
        <w:jc w:val="center"/>
        <w:rPr>
          <w:rFonts w:eastAsia="Aptos"/>
          <w:b/>
          <w:bCs/>
          <w:color w:val="000000"/>
          <w:sz w:val="28"/>
          <w:szCs w:val="28"/>
          <w:lang w:eastAsia="en-US"/>
        </w:rPr>
      </w:pPr>
      <w:r w:rsidRPr="00E378A6">
        <w:rPr>
          <w:rFonts w:eastAsia="Aptos"/>
          <w:b/>
          <w:bCs/>
          <w:color w:val="000000"/>
          <w:sz w:val="28"/>
          <w:szCs w:val="28"/>
          <w:lang w:eastAsia="en-US"/>
        </w:rPr>
        <w:t xml:space="preserve">U P U T E </w:t>
      </w:r>
    </w:p>
    <w:p w14:paraId="69A81FCC" w14:textId="57D81EBF" w:rsidR="00E378A6" w:rsidRPr="00E378A6" w:rsidRDefault="00E378A6" w:rsidP="00E378A6">
      <w:pPr>
        <w:autoSpaceDE w:val="0"/>
        <w:autoSpaceDN w:val="0"/>
        <w:adjustRightInd w:val="0"/>
        <w:jc w:val="center"/>
        <w:rPr>
          <w:rFonts w:eastAsia="Aptos"/>
          <w:color w:val="000000"/>
          <w:sz w:val="28"/>
          <w:szCs w:val="28"/>
          <w:lang w:eastAsia="en-US"/>
        </w:rPr>
      </w:pPr>
      <w:r w:rsidRPr="00E378A6">
        <w:rPr>
          <w:rFonts w:eastAsia="Aptos"/>
          <w:b/>
          <w:bCs/>
          <w:color w:val="000000"/>
          <w:sz w:val="28"/>
          <w:szCs w:val="28"/>
          <w:lang w:eastAsia="en-US"/>
        </w:rPr>
        <w:t xml:space="preserve">ZA IZRADU </w:t>
      </w:r>
      <w:r w:rsidR="00AA10F4">
        <w:rPr>
          <w:rFonts w:eastAsia="Aptos"/>
          <w:b/>
          <w:bCs/>
          <w:color w:val="000000"/>
          <w:sz w:val="28"/>
          <w:szCs w:val="28"/>
          <w:lang w:eastAsia="en-US"/>
        </w:rPr>
        <w:t xml:space="preserve">PRORAČUNA I </w:t>
      </w:r>
      <w:r w:rsidRPr="00E378A6">
        <w:rPr>
          <w:rFonts w:eastAsia="Aptos"/>
          <w:b/>
          <w:bCs/>
          <w:color w:val="000000"/>
          <w:sz w:val="28"/>
          <w:szCs w:val="28"/>
          <w:lang w:eastAsia="en-US"/>
        </w:rPr>
        <w:t>FINANCIJSKOG PLANA PRORAČUNSK</w:t>
      </w:r>
      <w:r w:rsidRPr="00DC62AD">
        <w:rPr>
          <w:rFonts w:eastAsia="Aptos"/>
          <w:b/>
          <w:bCs/>
          <w:color w:val="000000"/>
          <w:sz w:val="28"/>
          <w:szCs w:val="28"/>
          <w:lang w:eastAsia="en-US"/>
        </w:rPr>
        <w:t>OG</w:t>
      </w:r>
      <w:r w:rsidRPr="00E378A6">
        <w:rPr>
          <w:rFonts w:eastAsia="Aptos"/>
          <w:b/>
          <w:bCs/>
          <w:color w:val="000000"/>
          <w:sz w:val="28"/>
          <w:szCs w:val="28"/>
          <w:lang w:eastAsia="en-US"/>
        </w:rPr>
        <w:t xml:space="preserve"> KORISNIKA OPĆINE </w:t>
      </w:r>
      <w:r w:rsidRPr="00DC62AD">
        <w:rPr>
          <w:rFonts w:eastAsia="Aptos"/>
          <w:b/>
          <w:bCs/>
          <w:color w:val="000000"/>
          <w:sz w:val="28"/>
          <w:szCs w:val="28"/>
          <w:lang w:eastAsia="en-US"/>
        </w:rPr>
        <w:t>GORNJA STUBICA</w:t>
      </w:r>
    </w:p>
    <w:p w14:paraId="71D8D7B5" w14:textId="1D1871C7" w:rsidR="00E378A6" w:rsidRPr="00E378A6" w:rsidRDefault="00E378A6" w:rsidP="00E378A6">
      <w:pPr>
        <w:autoSpaceDE w:val="0"/>
        <w:autoSpaceDN w:val="0"/>
        <w:adjustRightInd w:val="0"/>
        <w:jc w:val="center"/>
        <w:rPr>
          <w:rFonts w:eastAsia="Aptos"/>
          <w:b/>
          <w:bCs/>
          <w:color w:val="000000"/>
          <w:sz w:val="28"/>
          <w:szCs w:val="28"/>
          <w:lang w:eastAsia="en-US"/>
        </w:rPr>
      </w:pPr>
      <w:r w:rsidRPr="00E378A6">
        <w:rPr>
          <w:rFonts w:eastAsia="Aptos"/>
          <w:b/>
          <w:bCs/>
          <w:color w:val="000000"/>
          <w:sz w:val="28"/>
          <w:szCs w:val="28"/>
          <w:lang w:eastAsia="en-US"/>
        </w:rPr>
        <w:t>ZA RAZDOBLJE 202</w:t>
      </w:r>
      <w:r w:rsidR="00CB3604">
        <w:rPr>
          <w:rFonts w:eastAsia="Aptos"/>
          <w:b/>
          <w:bCs/>
          <w:color w:val="000000"/>
          <w:sz w:val="28"/>
          <w:szCs w:val="28"/>
          <w:lang w:eastAsia="en-US"/>
        </w:rPr>
        <w:t>6</w:t>
      </w:r>
      <w:r w:rsidRPr="00E378A6">
        <w:rPr>
          <w:rFonts w:eastAsia="Aptos"/>
          <w:b/>
          <w:bCs/>
          <w:color w:val="000000"/>
          <w:sz w:val="28"/>
          <w:szCs w:val="28"/>
          <w:lang w:eastAsia="en-US"/>
        </w:rPr>
        <w:t>. - 202</w:t>
      </w:r>
      <w:r w:rsidR="00CB3604">
        <w:rPr>
          <w:rFonts w:eastAsia="Aptos"/>
          <w:b/>
          <w:bCs/>
          <w:color w:val="000000"/>
          <w:sz w:val="28"/>
          <w:szCs w:val="28"/>
          <w:lang w:eastAsia="en-US"/>
        </w:rPr>
        <w:t>8</w:t>
      </w:r>
      <w:r w:rsidRPr="00E378A6">
        <w:rPr>
          <w:rFonts w:eastAsia="Aptos"/>
          <w:b/>
          <w:bCs/>
          <w:color w:val="000000"/>
          <w:sz w:val="28"/>
          <w:szCs w:val="28"/>
          <w:lang w:eastAsia="en-US"/>
        </w:rPr>
        <w:t>.</w:t>
      </w:r>
    </w:p>
    <w:p w14:paraId="26D82B99" w14:textId="77777777" w:rsidR="00E378A6" w:rsidRPr="00E378A6" w:rsidRDefault="00E378A6" w:rsidP="00E378A6">
      <w:pPr>
        <w:autoSpaceDE w:val="0"/>
        <w:autoSpaceDN w:val="0"/>
        <w:adjustRightInd w:val="0"/>
        <w:jc w:val="center"/>
        <w:rPr>
          <w:rFonts w:eastAsia="Aptos"/>
          <w:b/>
          <w:bCs/>
          <w:color w:val="000000"/>
          <w:sz w:val="28"/>
          <w:szCs w:val="28"/>
          <w:lang w:eastAsia="en-US"/>
        </w:rPr>
      </w:pPr>
    </w:p>
    <w:p w14:paraId="4E0D5556" w14:textId="77777777" w:rsidR="00E378A6" w:rsidRPr="00E378A6" w:rsidRDefault="00E378A6" w:rsidP="00E378A6">
      <w:pPr>
        <w:autoSpaceDE w:val="0"/>
        <w:autoSpaceDN w:val="0"/>
        <w:adjustRightInd w:val="0"/>
        <w:rPr>
          <w:rFonts w:eastAsia="Aptos"/>
          <w:b/>
          <w:bCs/>
          <w:color w:val="000000"/>
          <w:sz w:val="28"/>
          <w:szCs w:val="28"/>
          <w:lang w:eastAsia="en-US"/>
        </w:rPr>
      </w:pPr>
    </w:p>
    <w:p w14:paraId="708FAC64" w14:textId="77777777" w:rsidR="00E378A6" w:rsidRPr="00E378A6" w:rsidRDefault="00E378A6" w:rsidP="00E378A6">
      <w:pPr>
        <w:autoSpaceDE w:val="0"/>
        <w:autoSpaceDN w:val="0"/>
        <w:adjustRightInd w:val="0"/>
        <w:rPr>
          <w:rFonts w:eastAsia="Aptos"/>
          <w:b/>
          <w:bCs/>
          <w:color w:val="000000"/>
          <w:sz w:val="28"/>
          <w:szCs w:val="28"/>
          <w:lang w:eastAsia="en-US"/>
        </w:rPr>
      </w:pPr>
    </w:p>
    <w:p w14:paraId="52D56499" w14:textId="77777777" w:rsidR="00E378A6" w:rsidRPr="00E378A6" w:rsidRDefault="00E378A6" w:rsidP="00E378A6">
      <w:pPr>
        <w:autoSpaceDE w:val="0"/>
        <w:autoSpaceDN w:val="0"/>
        <w:adjustRightInd w:val="0"/>
        <w:rPr>
          <w:rFonts w:eastAsia="Aptos"/>
          <w:b/>
          <w:bCs/>
          <w:color w:val="000000"/>
          <w:sz w:val="28"/>
          <w:szCs w:val="28"/>
          <w:lang w:eastAsia="en-US"/>
        </w:rPr>
      </w:pPr>
    </w:p>
    <w:p w14:paraId="5F812D8D" w14:textId="77777777" w:rsidR="00E378A6" w:rsidRPr="00E378A6" w:rsidRDefault="00E378A6" w:rsidP="00E378A6">
      <w:pPr>
        <w:autoSpaceDE w:val="0"/>
        <w:autoSpaceDN w:val="0"/>
        <w:adjustRightInd w:val="0"/>
        <w:rPr>
          <w:rFonts w:eastAsia="Aptos"/>
          <w:b/>
          <w:bCs/>
          <w:color w:val="000000"/>
          <w:sz w:val="28"/>
          <w:szCs w:val="28"/>
          <w:lang w:eastAsia="en-US"/>
        </w:rPr>
      </w:pPr>
    </w:p>
    <w:p w14:paraId="79BD709B" w14:textId="77777777" w:rsidR="00E378A6" w:rsidRPr="00E378A6" w:rsidRDefault="00E378A6" w:rsidP="00E378A6">
      <w:pPr>
        <w:autoSpaceDE w:val="0"/>
        <w:autoSpaceDN w:val="0"/>
        <w:adjustRightInd w:val="0"/>
        <w:rPr>
          <w:rFonts w:eastAsia="Aptos"/>
          <w:b/>
          <w:bCs/>
          <w:color w:val="000000"/>
          <w:sz w:val="28"/>
          <w:szCs w:val="28"/>
          <w:lang w:eastAsia="en-US"/>
        </w:rPr>
      </w:pPr>
    </w:p>
    <w:p w14:paraId="7395EA35" w14:textId="77777777" w:rsidR="00E378A6" w:rsidRPr="00E378A6" w:rsidRDefault="00E378A6" w:rsidP="00E378A6">
      <w:pPr>
        <w:autoSpaceDE w:val="0"/>
        <w:autoSpaceDN w:val="0"/>
        <w:adjustRightInd w:val="0"/>
        <w:rPr>
          <w:rFonts w:eastAsia="Aptos"/>
          <w:b/>
          <w:bCs/>
          <w:color w:val="000000"/>
          <w:sz w:val="28"/>
          <w:szCs w:val="28"/>
          <w:lang w:eastAsia="en-US"/>
        </w:rPr>
      </w:pPr>
    </w:p>
    <w:p w14:paraId="5946F5DA" w14:textId="77777777" w:rsidR="00E378A6" w:rsidRPr="00E378A6" w:rsidRDefault="00E378A6" w:rsidP="00E378A6">
      <w:pPr>
        <w:autoSpaceDE w:val="0"/>
        <w:autoSpaceDN w:val="0"/>
        <w:adjustRightInd w:val="0"/>
        <w:rPr>
          <w:rFonts w:eastAsia="Aptos"/>
          <w:b/>
          <w:bCs/>
          <w:color w:val="000000"/>
          <w:sz w:val="28"/>
          <w:szCs w:val="28"/>
          <w:lang w:eastAsia="en-US"/>
        </w:rPr>
      </w:pPr>
    </w:p>
    <w:p w14:paraId="12529D1E" w14:textId="77777777" w:rsidR="00E378A6" w:rsidRPr="00E378A6" w:rsidRDefault="00E378A6" w:rsidP="00E378A6">
      <w:pPr>
        <w:autoSpaceDE w:val="0"/>
        <w:autoSpaceDN w:val="0"/>
        <w:adjustRightInd w:val="0"/>
        <w:rPr>
          <w:rFonts w:eastAsia="Aptos"/>
          <w:b/>
          <w:bCs/>
          <w:color w:val="000000"/>
          <w:sz w:val="28"/>
          <w:szCs w:val="28"/>
          <w:lang w:eastAsia="en-US"/>
        </w:rPr>
      </w:pPr>
    </w:p>
    <w:p w14:paraId="0662311D" w14:textId="77777777" w:rsidR="00E378A6" w:rsidRPr="00E378A6" w:rsidRDefault="00E378A6" w:rsidP="00E378A6">
      <w:pPr>
        <w:autoSpaceDE w:val="0"/>
        <w:autoSpaceDN w:val="0"/>
        <w:adjustRightInd w:val="0"/>
        <w:rPr>
          <w:rFonts w:eastAsia="Aptos"/>
          <w:b/>
          <w:bCs/>
          <w:color w:val="000000"/>
          <w:sz w:val="28"/>
          <w:szCs w:val="28"/>
          <w:lang w:eastAsia="en-US"/>
        </w:rPr>
      </w:pPr>
    </w:p>
    <w:p w14:paraId="0002D545" w14:textId="77777777" w:rsidR="00E378A6" w:rsidRPr="00E378A6" w:rsidRDefault="00E378A6" w:rsidP="00E378A6">
      <w:pPr>
        <w:autoSpaceDE w:val="0"/>
        <w:autoSpaceDN w:val="0"/>
        <w:adjustRightInd w:val="0"/>
        <w:rPr>
          <w:rFonts w:eastAsia="Aptos"/>
          <w:b/>
          <w:bCs/>
          <w:color w:val="000000"/>
          <w:sz w:val="28"/>
          <w:szCs w:val="28"/>
          <w:lang w:eastAsia="en-US"/>
        </w:rPr>
      </w:pPr>
    </w:p>
    <w:p w14:paraId="07BC603B" w14:textId="77777777" w:rsidR="00E378A6" w:rsidRPr="00E378A6" w:rsidRDefault="00E378A6" w:rsidP="00E378A6">
      <w:pPr>
        <w:autoSpaceDE w:val="0"/>
        <w:autoSpaceDN w:val="0"/>
        <w:adjustRightInd w:val="0"/>
        <w:rPr>
          <w:rFonts w:eastAsia="Aptos"/>
          <w:color w:val="000000"/>
          <w:lang w:eastAsia="en-US"/>
        </w:rPr>
      </w:pPr>
    </w:p>
    <w:p w14:paraId="60C478B2" w14:textId="77777777" w:rsidR="00E378A6" w:rsidRPr="00E378A6" w:rsidRDefault="00E378A6" w:rsidP="00E378A6">
      <w:pPr>
        <w:autoSpaceDE w:val="0"/>
        <w:autoSpaceDN w:val="0"/>
        <w:adjustRightInd w:val="0"/>
        <w:rPr>
          <w:rFonts w:eastAsia="Aptos"/>
          <w:color w:val="000000"/>
          <w:lang w:eastAsia="en-US"/>
        </w:rPr>
      </w:pPr>
    </w:p>
    <w:p w14:paraId="6C57345A" w14:textId="77777777" w:rsidR="00E378A6" w:rsidRPr="00E378A6" w:rsidRDefault="00E378A6" w:rsidP="00E378A6">
      <w:pPr>
        <w:autoSpaceDE w:val="0"/>
        <w:autoSpaceDN w:val="0"/>
        <w:adjustRightInd w:val="0"/>
        <w:rPr>
          <w:rFonts w:eastAsia="Aptos"/>
          <w:color w:val="000000"/>
          <w:lang w:eastAsia="en-US"/>
        </w:rPr>
      </w:pPr>
    </w:p>
    <w:p w14:paraId="688052CF" w14:textId="77777777" w:rsidR="00E378A6" w:rsidRPr="00E378A6" w:rsidRDefault="00E378A6" w:rsidP="00E378A6">
      <w:pPr>
        <w:autoSpaceDE w:val="0"/>
        <w:autoSpaceDN w:val="0"/>
        <w:adjustRightInd w:val="0"/>
        <w:rPr>
          <w:rFonts w:eastAsia="Aptos"/>
          <w:color w:val="000000"/>
          <w:lang w:eastAsia="en-US"/>
        </w:rPr>
      </w:pPr>
    </w:p>
    <w:p w14:paraId="1DF5C19E" w14:textId="77777777" w:rsidR="00E378A6" w:rsidRPr="00E378A6" w:rsidRDefault="00E378A6" w:rsidP="00E378A6">
      <w:pPr>
        <w:autoSpaceDE w:val="0"/>
        <w:autoSpaceDN w:val="0"/>
        <w:adjustRightInd w:val="0"/>
        <w:rPr>
          <w:rFonts w:eastAsia="Aptos"/>
          <w:color w:val="000000"/>
          <w:lang w:eastAsia="en-US"/>
        </w:rPr>
      </w:pPr>
    </w:p>
    <w:p w14:paraId="78118BE2" w14:textId="77777777" w:rsidR="00E378A6" w:rsidRPr="00E378A6" w:rsidRDefault="00E378A6" w:rsidP="00E378A6">
      <w:pPr>
        <w:autoSpaceDE w:val="0"/>
        <w:autoSpaceDN w:val="0"/>
        <w:adjustRightInd w:val="0"/>
        <w:rPr>
          <w:rFonts w:eastAsia="Aptos"/>
          <w:color w:val="000000"/>
          <w:lang w:eastAsia="en-US"/>
        </w:rPr>
      </w:pPr>
    </w:p>
    <w:p w14:paraId="543053DD" w14:textId="77777777" w:rsidR="00E378A6" w:rsidRPr="00E378A6" w:rsidRDefault="00E378A6" w:rsidP="00E378A6">
      <w:pPr>
        <w:autoSpaceDE w:val="0"/>
        <w:autoSpaceDN w:val="0"/>
        <w:adjustRightInd w:val="0"/>
        <w:rPr>
          <w:rFonts w:eastAsia="Aptos"/>
          <w:color w:val="000000"/>
          <w:lang w:eastAsia="en-US"/>
        </w:rPr>
      </w:pPr>
    </w:p>
    <w:p w14:paraId="5D0E1B60" w14:textId="77777777" w:rsidR="00E378A6" w:rsidRPr="00E378A6" w:rsidRDefault="00E378A6" w:rsidP="00E378A6">
      <w:pPr>
        <w:autoSpaceDE w:val="0"/>
        <w:autoSpaceDN w:val="0"/>
        <w:adjustRightInd w:val="0"/>
        <w:rPr>
          <w:rFonts w:eastAsia="Aptos"/>
          <w:color w:val="000000"/>
          <w:lang w:eastAsia="en-US"/>
        </w:rPr>
      </w:pPr>
    </w:p>
    <w:p w14:paraId="013D26C4" w14:textId="77777777" w:rsidR="00E378A6" w:rsidRPr="00E378A6" w:rsidRDefault="00E378A6" w:rsidP="00E378A6">
      <w:pPr>
        <w:autoSpaceDE w:val="0"/>
        <w:autoSpaceDN w:val="0"/>
        <w:adjustRightInd w:val="0"/>
        <w:rPr>
          <w:rFonts w:eastAsia="Aptos"/>
          <w:color w:val="000000"/>
          <w:lang w:eastAsia="en-US"/>
        </w:rPr>
      </w:pPr>
    </w:p>
    <w:p w14:paraId="2204EE78" w14:textId="77777777" w:rsidR="00E378A6" w:rsidRPr="00E378A6" w:rsidRDefault="00E378A6" w:rsidP="00E378A6">
      <w:pPr>
        <w:autoSpaceDE w:val="0"/>
        <w:autoSpaceDN w:val="0"/>
        <w:adjustRightInd w:val="0"/>
        <w:rPr>
          <w:rFonts w:eastAsia="Aptos"/>
          <w:color w:val="000000"/>
          <w:lang w:eastAsia="en-US"/>
        </w:rPr>
      </w:pPr>
    </w:p>
    <w:p w14:paraId="323D2D17" w14:textId="77777777" w:rsidR="00E378A6" w:rsidRPr="00E378A6" w:rsidRDefault="00E378A6" w:rsidP="00E378A6">
      <w:pPr>
        <w:autoSpaceDE w:val="0"/>
        <w:autoSpaceDN w:val="0"/>
        <w:adjustRightInd w:val="0"/>
        <w:rPr>
          <w:rFonts w:eastAsia="Aptos"/>
          <w:color w:val="000000"/>
          <w:lang w:eastAsia="en-US"/>
        </w:rPr>
      </w:pPr>
    </w:p>
    <w:p w14:paraId="6FF792DF" w14:textId="77777777" w:rsidR="00E378A6" w:rsidRPr="00E378A6" w:rsidRDefault="00E378A6" w:rsidP="00E378A6">
      <w:pPr>
        <w:autoSpaceDE w:val="0"/>
        <w:autoSpaceDN w:val="0"/>
        <w:adjustRightInd w:val="0"/>
        <w:rPr>
          <w:rFonts w:eastAsia="Aptos"/>
          <w:color w:val="000000"/>
          <w:lang w:eastAsia="en-US"/>
        </w:rPr>
      </w:pPr>
    </w:p>
    <w:p w14:paraId="07CA7076" w14:textId="77777777" w:rsidR="00E378A6" w:rsidRPr="00E378A6" w:rsidRDefault="00E378A6" w:rsidP="00E378A6">
      <w:pPr>
        <w:autoSpaceDE w:val="0"/>
        <w:autoSpaceDN w:val="0"/>
        <w:adjustRightInd w:val="0"/>
        <w:rPr>
          <w:rFonts w:eastAsia="Aptos"/>
          <w:color w:val="000000"/>
          <w:lang w:eastAsia="en-US"/>
        </w:rPr>
      </w:pPr>
    </w:p>
    <w:p w14:paraId="7C4908E6" w14:textId="77777777" w:rsidR="00E378A6" w:rsidRPr="00E378A6" w:rsidRDefault="00E378A6" w:rsidP="00E378A6">
      <w:pPr>
        <w:autoSpaceDE w:val="0"/>
        <w:autoSpaceDN w:val="0"/>
        <w:adjustRightInd w:val="0"/>
        <w:rPr>
          <w:rFonts w:eastAsia="Aptos"/>
          <w:color w:val="000000"/>
          <w:lang w:eastAsia="en-US"/>
        </w:rPr>
      </w:pPr>
    </w:p>
    <w:p w14:paraId="18E75BF0" w14:textId="77777777" w:rsidR="00E378A6" w:rsidRPr="00E378A6" w:rsidRDefault="00E378A6" w:rsidP="00E378A6">
      <w:pPr>
        <w:autoSpaceDE w:val="0"/>
        <w:autoSpaceDN w:val="0"/>
        <w:adjustRightInd w:val="0"/>
        <w:jc w:val="center"/>
        <w:rPr>
          <w:rFonts w:eastAsia="Aptos"/>
          <w:color w:val="000000"/>
          <w:lang w:eastAsia="en-US"/>
        </w:rPr>
      </w:pPr>
    </w:p>
    <w:p w14:paraId="7233B032" w14:textId="0649DA2E" w:rsidR="00E378A6" w:rsidRDefault="00E378A6" w:rsidP="00E378A6">
      <w:pPr>
        <w:jc w:val="center"/>
        <w:rPr>
          <w:color w:val="000000"/>
          <w:lang w:eastAsia="en-US"/>
        </w:rPr>
      </w:pPr>
      <w:r w:rsidRPr="00DC62AD">
        <w:rPr>
          <w:color w:val="000000"/>
          <w:lang w:eastAsia="en-US"/>
        </w:rPr>
        <w:t>Gornja Stubica</w:t>
      </w:r>
      <w:r w:rsidRPr="00E378A6">
        <w:rPr>
          <w:color w:val="000000"/>
          <w:lang w:eastAsia="en-US"/>
        </w:rPr>
        <w:t>, listopad 202</w:t>
      </w:r>
      <w:r w:rsidR="009939F7">
        <w:rPr>
          <w:color w:val="000000"/>
          <w:lang w:eastAsia="en-US"/>
        </w:rPr>
        <w:t>5</w:t>
      </w:r>
      <w:r w:rsidRPr="00E378A6">
        <w:rPr>
          <w:color w:val="000000"/>
          <w:lang w:eastAsia="en-US"/>
        </w:rPr>
        <w:t>.</w:t>
      </w:r>
    </w:p>
    <w:p w14:paraId="624B9F0C" w14:textId="77777777" w:rsidR="003C7ACE" w:rsidRDefault="003C7ACE" w:rsidP="00E378A6">
      <w:pPr>
        <w:jc w:val="center"/>
        <w:rPr>
          <w:color w:val="000000"/>
          <w:lang w:eastAsia="en-US"/>
        </w:rPr>
      </w:pPr>
    </w:p>
    <w:p w14:paraId="59460F8A" w14:textId="77777777" w:rsidR="003C7ACE" w:rsidRDefault="003C7ACE" w:rsidP="003C7ACE">
      <w:pPr>
        <w:rPr>
          <w:color w:val="000000"/>
          <w:lang w:eastAsia="en-US"/>
        </w:rPr>
      </w:pPr>
    </w:p>
    <w:p w14:paraId="518C31C9" w14:textId="3E1B8908" w:rsidR="003C7ACE" w:rsidRDefault="003C7ACE" w:rsidP="003C7ACE">
      <w:pPr>
        <w:rPr>
          <w:b/>
          <w:bCs/>
          <w:color w:val="000000"/>
          <w:lang w:eastAsia="en-US"/>
        </w:rPr>
      </w:pPr>
      <w:r w:rsidRPr="003C7ACE">
        <w:rPr>
          <w:b/>
          <w:bCs/>
          <w:color w:val="000000"/>
          <w:lang w:eastAsia="en-US"/>
        </w:rPr>
        <w:lastRenderedPageBreak/>
        <w:t>SADRŽAJ</w:t>
      </w:r>
    </w:p>
    <w:p w14:paraId="51C43598" w14:textId="77777777" w:rsidR="003C7ACE" w:rsidRDefault="003C7ACE" w:rsidP="003C7ACE">
      <w:pPr>
        <w:rPr>
          <w:b/>
          <w:bCs/>
          <w:color w:val="000000"/>
          <w:lang w:eastAsia="en-US"/>
        </w:rPr>
      </w:pPr>
    </w:p>
    <w:sdt>
      <w:sdtPr>
        <w:rPr>
          <w:rFonts w:ascii="Times New Roman" w:eastAsia="Times New Roman" w:hAnsi="Times New Roman" w:cs="Times New Roman"/>
          <w:color w:val="auto"/>
          <w:sz w:val="24"/>
          <w:szCs w:val="24"/>
        </w:rPr>
        <w:id w:val="-326592708"/>
        <w:docPartObj>
          <w:docPartGallery w:val="Table of Contents"/>
          <w:docPartUnique/>
        </w:docPartObj>
      </w:sdtPr>
      <w:sdtEndPr>
        <w:rPr>
          <w:b/>
          <w:bCs/>
        </w:rPr>
      </w:sdtEndPr>
      <w:sdtContent>
        <w:p w14:paraId="5182026B" w14:textId="746E7EB6" w:rsidR="00597654" w:rsidRDefault="00597654">
          <w:pPr>
            <w:pStyle w:val="TOCNaslov"/>
          </w:pPr>
        </w:p>
        <w:p w14:paraId="3A31461F" w14:textId="0F65D916" w:rsidR="00597654" w:rsidRDefault="00597654">
          <w:pPr>
            <w:pStyle w:val="Sadraj1"/>
            <w:tabs>
              <w:tab w:val="left" w:pos="480"/>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859963" w:history="1">
            <w:r w:rsidRPr="004779BA">
              <w:rPr>
                <w:rStyle w:val="Hiperveza"/>
                <w:noProof/>
              </w:rPr>
              <w:t>1.</w:t>
            </w:r>
            <w:r>
              <w:rPr>
                <w:rFonts w:asciiTheme="minorHAnsi" w:eastAsiaTheme="minorEastAsia" w:hAnsiTheme="minorHAnsi" w:cstheme="minorBidi"/>
                <w:noProof/>
                <w:kern w:val="2"/>
                <w14:ligatures w14:val="standardContextual"/>
              </w:rPr>
              <w:tab/>
            </w:r>
            <w:r w:rsidRPr="004779BA">
              <w:rPr>
                <w:rStyle w:val="Hiperveza"/>
                <w:noProof/>
              </w:rPr>
              <w:t>UVOD</w:t>
            </w:r>
            <w:r>
              <w:rPr>
                <w:noProof/>
                <w:webHidden/>
              </w:rPr>
              <w:tab/>
            </w:r>
            <w:r>
              <w:rPr>
                <w:noProof/>
                <w:webHidden/>
              </w:rPr>
              <w:fldChar w:fldCharType="begin"/>
            </w:r>
            <w:r>
              <w:rPr>
                <w:noProof/>
                <w:webHidden/>
              </w:rPr>
              <w:instrText xml:space="preserve"> PAGEREF _Toc211859963 \h </w:instrText>
            </w:r>
            <w:r>
              <w:rPr>
                <w:noProof/>
                <w:webHidden/>
              </w:rPr>
            </w:r>
            <w:r>
              <w:rPr>
                <w:noProof/>
                <w:webHidden/>
              </w:rPr>
              <w:fldChar w:fldCharType="separate"/>
            </w:r>
            <w:r>
              <w:rPr>
                <w:noProof/>
                <w:webHidden/>
              </w:rPr>
              <w:t>3</w:t>
            </w:r>
            <w:r>
              <w:rPr>
                <w:noProof/>
                <w:webHidden/>
              </w:rPr>
              <w:fldChar w:fldCharType="end"/>
            </w:r>
          </w:hyperlink>
        </w:p>
        <w:p w14:paraId="0F5BEA8E" w14:textId="014216C2"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64" w:history="1">
            <w:r w:rsidRPr="004779BA">
              <w:rPr>
                <w:rStyle w:val="Hiperveza"/>
                <w:noProof/>
              </w:rPr>
              <w:t>2. TEMELJNI MAKROEKONOMSKI POKAZATELJI ZA RAZDOBLJE 2026. - 2028.</w:t>
            </w:r>
            <w:r>
              <w:rPr>
                <w:noProof/>
                <w:webHidden/>
              </w:rPr>
              <w:tab/>
            </w:r>
            <w:r>
              <w:rPr>
                <w:noProof/>
                <w:webHidden/>
              </w:rPr>
              <w:fldChar w:fldCharType="begin"/>
            </w:r>
            <w:r>
              <w:rPr>
                <w:noProof/>
                <w:webHidden/>
              </w:rPr>
              <w:instrText xml:space="preserve"> PAGEREF _Toc211859964 \h </w:instrText>
            </w:r>
            <w:r>
              <w:rPr>
                <w:noProof/>
                <w:webHidden/>
              </w:rPr>
            </w:r>
            <w:r>
              <w:rPr>
                <w:noProof/>
                <w:webHidden/>
              </w:rPr>
              <w:fldChar w:fldCharType="separate"/>
            </w:r>
            <w:r>
              <w:rPr>
                <w:noProof/>
                <w:webHidden/>
              </w:rPr>
              <w:t>3</w:t>
            </w:r>
            <w:r>
              <w:rPr>
                <w:noProof/>
                <w:webHidden/>
              </w:rPr>
              <w:fldChar w:fldCharType="end"/>
            </w:r>
          </w:hyperlink>
        </w:p>
        <w:p w14:paraId="54421483" w14:textId="5D8C5B83"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65" w:history="1">
            <w:r w:rsidRPr="004779BA">
              <w:rPr>
                <w:rStyle w:val="Hiperveza"/>
                <w:noProof/>
              </w:rPr>
              <w:t>3. UPUTE ODSJEKA ZA FINANCIJE I PRORAČUN</w:t>
            </w:r>
            <w:r>
              <w:rPr>
                <w:noProof/>
                <w:webHidden/>
              </w:rPr>
              <w:tab/>
            </w:r>
            <w:r>
              <w:rPr>
                <w:noProof/>
                <w:webHidden/>
              </w:rPr>
              <w:fldChar w:fldCharType="begin"/>
            </w:r>
            <w:r>
              <w:rPr>
                <w:noProof/>
                <w:webHidden/>
              </w:rPr>
              <w:instrText xml:space="preserve"> PAGEREF _Toc211859965 \h </w:instrText>
            </w:r>
            <w:r>
              <w:rPr>
                <w:noProof/>
                <w:webHidden/>
              </w:rPr>
            </w:r>
            <w:r>
              <w:rPr>
                <w:noProof/>
                <w:webHidden/>
              </w:rPr>
              <w:fldChar w:fldCharType="separate"/>
            </w:r>
            <w:r>
              <w:rPr>
                <w:noProof/>
                <w:webHidden/>
              </w:rPr>
              <w:t>4</w:t>
            </w:r>
            <w:r>
              <w:rPr>
                <w:noProof/>
                <w:webHidden/>
              </w:rPr>
              <w:fldChar w:fldCharType="end"/>
            </w:r>
          </w:hyperlink>
        </w:p>
        <w:p w14:paraId="0619D802" w14:textId="40352822"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66" w:history="1">
            <w:r w:rsidRPr="00597654">
              <w:rPr>
                <w:rStyle w:val="Hiperveza"/>
                <w:noProof/>
              </w:rPr>
              <w:t>3.1. Odrednice prihoda i rashoda proračuna jedinice lokalne i područne (regionalne) samouprave</w:t>
            </w:r>
            <w:r w:rsidRPr="00597654">
              <w:rPr>
                <w:noProof/>
                <w:webHidden/>
              </w:rPr>
              <w:tab/>
            </w:r>
            <w:r w:rsidRPr="00597654">
              <w:rPr>
                <w:noProof/>
                <w:webHidden/>
              </w:rPr>
              <w:fldChar w:fldCharType="begin"/>
            </w:r>
            <w:r w:rsidRPr="00597654">
              <w:rPr>
                <w:noProof/>
                <w:webHidden/>
              </w:rPr>
              <w:instrText xml:space="preserve"> PAGEREF _Toc211859966 \h </w:instrText>
            </w:r>
            <w:r w:rsidRPr="00597654">
              <w:rPr>
                <w:noProof/>
                <w:webHidden/>
              </w:rPr>
            </w:r>
            <w:r w:rsidRPr="00597654">
              <w:rPr>
                <w:noProof/>
                <w:webHidden/>
              </w:rPr>
              <w:fldChar w:fldCharType="separate"/>
            </w:r>
            <w:r w:rsidRPr="00597654">
              <w:rPr>
                <w:noProof/>
                <w:webHidden/>
              </w:rPr>
              <w:t>4</w:t>
            </w:r>
            <w:r w:rsidRPr="00597654">
              <w:rPr>
                <w:noProof/>
                <w:webHidden/>
              </w:rPr>
              <w:fldChar w:fldCharType="end"/>
            </w:r>
          </w:hyperlink>
        </w:p>
        <w:p w14:paraId="28808637" w14:textId="19650B83"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67" w:history="1">
            <w:r w:rsidRPr="00597654">
              <w:rPr>
                <w:rStyle w:val="Hiperveza"/>
                <w:noProof/>
              </w:rPr>
              <w:t>3.2. Procjena prihoda i rashoda, te primitaka i izdataka Općine Gornja Stubica u sljedeće tri godine</w:t>
            </w:r>
            <w:r w:rsidRPr="00597654">
              <w:rPr>
                <w:noProof/>
                <w:webHidden/>
              </w:rPr>
              <w:tab/>
            </w:r>
            <w:r w:rsidRPr="00597654">
              <w:rPr>
                <w:noProof/>
                <w:webHidden/>
              </w:rPr>
              <w:fldChar w:fldCharType="begin"/>
            </w:r>
            <w:r w:rsidRPr="00597654">
              <w:rPr>
                <w:noProof/>
                <w:webHidden/>
              </w:rPr>
              <w:instrText xml:space="preserve"> PAGEREF _Toc211859967 \h </w:instrText>
            </w:r>
            <w:r w:rsidRPr="00597654">
              <w:rPr>
                <w:noProof/>
                <w:webHidden/>
              </w:rPr>
            </w:r>
            <w:r w:rsidRPr="00597654">
              <w:rPr>
                <w:noProof/>
                <w:webHidden/>
              </w:rPr>
              <w:fldChar w:fldCharType="separate"/>
            </w:r>
            <w:r w:rsidRPr="00597654">
              <w:rPr>
                <w:noProof/>
                <w:webHidden/>
              </w:rPr>
              <w:t>4</w:t>
            </w:r>
            <w:r w:rsidRPr="00597654">
              <w:rPr>
                <w:noProof/>
                <w:webHidden/>
              </w:rPr>
              <w:fldChar w:fldCharType="end"/>
            </w:r>
          </w:hyperlink>
        </w:p>
        <w:p w14:paraId="65A9BC60" w14:textId="02A70D6B"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68" w:history="1">
            <w:r w:rsidRPr="004779BA">
              <w:rPr>
                <w:rStyle w:val="Hiperveza"/>
                <w:noProof/>
              </w:rPr>
              <w:t>4. METODOLOGIJA IZRADE PRORAČUNA I FINANCIJSKIH PLANOVA</w:t>
            </w:r>
            <w:r>
              <w:rPr>
                <w:noProof/>
                <w:webHidden/>
              </w:rPr>
              <w:tab/>
            </w:r>
            <w:r>
              <w:rPr>
                <w:noProof/>
                <w:webHidden/>
              </w:rPr>
              <w:fldChar w:fldCharType="begin"/>
            </w:r>
            <w:r>
              <w:rPr>
                <w:noProof/>
                <w:webHidden/>
              </w:rPr>
              <w:instrText xml:space="preserve"> PAGEREF _Toc211859968 \h </w:instrText>
            </w:r>
            <w:r>
              <w:rPr>
                <w:noProof/>
                <w:webHidden/>
              </w:rPr>
            </w:r>
            <w:r>
              <w:rPr>
                <w:noProof/>
                <w:webHidden/>
              </w:rPr>
              <w:fldChar w:fldCharType="separate"/>
            </w:r>
            <w:r>
              <w:rPr>
                <w:noProof/>
                <w:webHidden/>
              </w:rPr>
              <w:t>4</w:t>
            </w:r>
            <w:r>
              <w:rPr>
                <w:noProof/>
                <w:webHidden/>
              </w:rPr>
              <w:fldChar w:fldCharType="end"/>
            </w:r>
          </w:hyperlink>
        </w:p>
        <w:p w14:paraId="3BACAB42" w14:textId="554BA7F8"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69" w:history="1">
            <w:r w:rsidRPr="00597654">
              <w:rPr>
                <w:rStyle w:val="Hiperveza"/>
                <w:noProof/>
              </w:rPr>
              <w:t>4.1. Sadržaj proračuna Općine Gornja Stubica za razdoblje 2026.-2028.</w:t>
            </w:r>
            <w:r w:rsidRPr="00597654">
              <w:rPr>
                <w:noProof/>
                <w:webHidden/>
              </w:rPr>
              <w:tab/>
            </w:r>
            <w:r w:rsidRPr="00597654">
              <w:rPr>
                <w:noProof/>
                <w:webHidden/>
              </w:rPr>
              <w:fldChar w:fldCharType="begin"/>
            </w:r>
            <w:r w:rsidRPr="00597654">
              <w:rPr>
                <w:noProof/>
                <w:webHidden/>
              </w:rPr>
              <w:instrText xml:space="preserve"> PAGEREF _Toc211859969 \h </w:instrText>
            </w:r>
            <w:r w:rsidRPr="00597654">
              <w:rPr>
                <w:noProof/>
                <w:webHidden/>
              </w:rPr>
            </w:r>
            <w:r w:rsidRPr="00597654">
              <w:rPr>
                <w:noProof/>
                <w:webHidden/>
              </w:rPr>
              <w:fldChar w:fldCharType="separate"/>
            </w:r>
            <w:r w:rsidRPr="00597654">
              <w:rPr>
                <w:noProof/>
                <w:webHidden/>
              </w:rPr>
              <w:t>5</w:t>
            </w:r>
            <w:r w:rsidRPr="00597654">
              <w:rPr>
                <w:noProof/>
                <w:webHidden/>
              </w:rPr>
              <w:fldChar w:fldCharType="end"/>
            </w:r>
          </w:hyperlink>
        </w:p>
        <w:p w14:paraId="6A32CA88" w14:textId="58AF0842"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70" w:history="1">
            <w:r w:rsidRPr="00597654">
              <w:rPr>
                <w:rStyle w:val="Hiperveza"/>
                <w:noProof/>
              </w:rPr>
              <w:t>4.2. Planiranje viškova i manjkova</w:t>
            </w:r>
            <w:r w:rsidRPr="00597654">
              <w:rPr>
                <w:noProof/>
                <w:webHidden/>
              </w:rPr>
              <w:tab/>
            </w:r>
            <w:r w:rsidRPr="00597654">
              <w:rPr>
                <w:noProof/>
                <w:webHidden/>
              </w:rPr>
              <w:fldChar w:fldCharType="begin"/>
            </w:r>
            <w:r w:rsidRPr="00597654">
              <w:rPr>
                <w:noProof/>
                <w:webHidden/>
              </w:rPr>
              <w:instrText xml:space="preserve"> PAGEREF _Toc211859970 \h </w:instrText>
            </w:r>
            <w:r w:rsidRPr="00597654">
              <w:rPr>
                <w:noProof/>
                <w:webHidden/>
              </w:rPr>
            </w:r>
            <w:r w:rsidRPr="00597654">
              <w:rPr>
                <w:noProof/>
                <w:webHidden/>
              </w:rPr>
              <w:fldChar w:fldCharType="separate"/>
            </w:r>
            <w:r w:rsidRPr="00597654">
              <w:rPr>
                <w:noProof/>
                <w:webHidden/>
              </w:rPr>
              <w:t>6</w:t>
            </w:r>
            <w:r w:rsidRPr="00597654">
              <w:rPr>
                <w:noProof/>
                <w:webHidden/>
              </w:rPr>
              <w:fldChar w:fldCharType="end"/>
            </w:r>
          </w:hyperlink>
        </w:p>
        <w:p w14:paraId="3990AF27" w14:textId="245C39E7"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71" w:history="1">
            <w:r w:rsidRPr="00597654">
              <w:rPr>
                <w:rStyle w:val="Hiperveza"/>
                <w:noProof/>
              </w:rPr>
              <w:t>4.3. Izmjene i dopune financijskog plana</w:t>
            </w:r>
            <w:r w:rsidRPr="00597654">
              <w:rPr>
                <w:noProof/>
                <w:webHidden/>
              </w:rPr>
              <w:tab/>
            </w:r>
            <w:r w:rsidRPr="00597654">
              <w:rPr>
                <w:noProof/>
                <w:webHidden/>
              </w:rPr>
              <w:fldChar w:fldCharType="begin"/>
            </w:r>
            <w:r w:rsidRPr="00597654">
              <w:rPr>
                <w:noProof/>
                <w:webHidden/>
              </w:rPr>
              <w:instrText xml:space="preserve"> PAGEREF _Toc211859971 \h </w:instrText>
            </w:r>
            <w:r w:rsidRPr="00597654">
              <w:rPr>
                <w:noProof/>
                <w:webHidden/>
              </w:rPr>
            </w:r>
            <w:r w:rsidRPr="00597654">
              <w:rPr>
                <w:noProof/>
                <w:webHidden/>
              </w:rPr>
              <w:fldChar w:fldCharType="separate"/>
            </w:r>
            <w:r w:rsidRPr="00597654">
              <w:rPr>
                <w:noProof/>
                <w:webHidden/>
              </w:rPr>
              <w:t>7</w:t>
            </w:r>
            <w:r w:rsidRPr="00597654">
              <w:rPr>
                <w:noProof/>
                <w:webHidden/>
              </w:rPr>
              <w:fldChar w:fldCharType="end"/>
            </w:r>
          </w:hyperlink>
        </w:p>
        <w:p w14:paraId="7E9C4CA5" w14:textId="2D11E85F"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72" w:history="1">
            <w:r w:rsidRPr="00597654">
              <w:rPr>
                <w:rStyle w:val="Hiperveza"/>
                <w:noProof/>
              </w:rPr>
              <w:t>4.4. Financijski plan proračunskog korisnika</w:t>
            </w:r>
            <w:r w:rsidRPr="00597654">
              <w:rPr>
                <w:noProof/>
                <w:webHidden/>
              </w:rPr>
              <w:tab/>
            </w:r>
            <w:r w:rsidRPr="00597654">
              <w:rPr>
                <w:noProof/>
                <w:webHidden/>
              </w:rPr>
              <w:fldChar w:fldCharType="begin"/>
            </w:r>
            <w:r w:rsidRPr="00597654">
              <w:rPr>
                <w:noProof/>
                <w:webHidden/>
              </w:rPr>
              <w:instrText xml:space="preserve"> PAGEREF _Toc211859972 \h </w:instrText>
            </w:r>
            <w:r w:rsidRPr="00597654">
              <w:rPr>
                <w:noProof/>
                <w:webHidden/>
              </w:rPr>
            </w:r>
            <w:r w:rsidRPr="00597654">
              <w:rPr>
                <w:noProof/>
                <w:webHidden/>
              </w:rPr>
              <w:fldChar w:fldCharType="separate"/>
            </w:r>
            <w:r w:rsidRPr="00597654">
              <w:rPr>
                <w:noProof/>
                <w:webHidden/>
              </w:rPr>
              <w:t>7</w:t>
            </w:r>
            <w:r w:rsidRPr="00597654">
              <w:rPr>
                <w:noProof/>
                <w:webHidden/>
              </w:rPr>
              <w:fldChar w:fldCharType="end"/>
            </w:r>
          </w:hyperlink>
        </w:p>
        <w:p w14:paraId="4D356235" w14:textId="291447D5" w:rsid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73" w:history="1">
            <w:r w:rsidRPr="00597654">
              <w:rPr>
                <w:rStyle w:val="Hiperveza"/>
                <w:noProof/>
              </w:rPr>
              <w:t>4.5. Proračunski korisnik</w:t>
            </w:r>
            <w:r w:rsidRPr="00597654">
              <w:rPr>
                <w:noProof/>
                <w:webHidden/>
              </w:rPr>
              <w:tab/>
            </w:r>
            <w:r w:rsidRPr="00597654">
              <w:rPr>
                <w:noProof/>
                <w:webHidden/>
              </w:rPr>
              <w:fldChar w:fldCharType="begin"/>
            </w:r>
            <w:r w:rsidRPr="00597654">
              <w:rPr>
                <w:noProof/>
                <w:webHidden/>
              </w:rPr>
              <w:instrText xml:space="preserve"> PAGEREF _Toc211859973 \h </w:instrText>
            </w:r>
            <w:r w:rsidRPr="00597654">
              <w:rPr>
                <w:noProof/>
                <w:webHidden/>
              </w:rPr>
            </w:r>
            <w:r w:rsidRPr="00597654">
              <w:rPr>
                <w:noProof/>
                <w:webHidden/>
              </w:rPr>
              <w:fldChar w:fldCharType="separate"/>
            </w:r>
            <w:r w:rsidRPr="00597654">
              <w:rPr>
                <w:noProof/>
                <w:webHidden/>
              </w:rPr>
              <w:t>8</w:t>
            </w:r>
            <w:r w:rsidRPr="00597654">
              <w:rPr>
                <w:noProof/>
                <w:webHidden/>
              </w:rPr>
              <w:fldChar w:fldCharType="end"/>
            </w:r>
          </w:hyperlink>
        </w:p>
        <w:p w14:paraId="1405664B" w14:textId="4F6B12EB"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74" w:history="1">
            <w:r w:rsidRPr="004779BA">
              <w:rPr>
                <w:rStyle w:val="Hiperveza"/>
                <w:rFonts w:eastAsia="Calibri"/>
                <w:noProof/>
              </w:rPr>
              <w:t>5. NAČIN PRIPREME TE TERMINSKI PLAN ZA IZRADU PRORAČUNA I  PRIJEDLOGA FINANCIJSKIH PLANOVA</w:t>
            </w:r>
            <w:r>
              <w:rPr>
                <w:noProof/>
                <w:webHidden/>
              </w:rPr>
              <w:tab/>
            </w:r>
            <w:r>
              <w:rPr>
                <w:noProof/>
                <w:webHidden/>
              </w:rPr>
              <w:fldChar w:fldCharType="begin"/>
            </w:r>
            <w:r>
              <w:rPr>
                <w:noProof/>
                <w:webHidden/>
              </w:rPr>
              <w:instrText xml:space="preserve"> PAGEREF _Toc211859974 \h </w:instrText>
            </w:r>
            <w:r>
              <w:rPr>
                <w:noProof/>
                <w:webHidden/>
              </w:rPr>
            </w:r>
            <w:r>
              <w:rPr>
                <w:noProof/>
                <w:webHidden/>
              </w:rPr>
              <w:fldChar w:fldCharType="separate"/>
            </w:r>
            <w:r>
              <w:rPr>
                <w:noProof/>
                <w:webHidden/>
              </w:rPr>
              <w:t>9</w:t>
            </w:r>
            <w:r>
              <w:rPr>
                <w:noProof/>
                <w:webHidden/>
              </w:rPr>
              <w:fldChar w:fldCharType="end"/>
            </w:r>
          </w:hyperlink>
        </w:p>
        <w:p w14:paraId="2E321953" w14:textId="7647C756"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75" w:history="1">
            <w:r w:rsidRPr="004779BA">
              <w:rPr>
                <w:rStyle w:val="Hiperveza"/>
                <w:rFonts w:eastAsia="Calibri"/>
                <w:noProof/>
              </w:rPr>
              <w:t>6. TRANSPARENTNOST</w:t>
            </w:r>
            <w:r>
              <w:rPr>
                <w:noProof/>
                <w:webHidden/>
              </w:rPr>
              <w:tab/>
            </w:r>
            <w:r>
              <w:rPr>
                <w:noProof/>
                <w:webHidden/>
              </w:rPr>
              <w:fldChar w:fldCharType="begin"/>
            </w:r>
            <w:r>
              <w:rPr>
                <w:noProof/>
                <w:webHidden/>
              </w:rPr>
              <w:instrText xml:space="preserve"> PAGEREF _Toc211859975 \h </w:instrText>
            </w:r>
            <w:r>
              <w:rPr>
                <w:noProof/>
                <w:webHidden/>
              </w:rPr>
            </w:r>
            <w:r>
              <w:rPr>
                <w:noProof/>
                <w:webHidden/>
              </w:rPr>
              <w:fldChar w:fldCharType="separate"/>
            </w:r>
            <w:r>
              <w:rPr>
                <w:noProof/>
                <w:webHidden/>
              </w:rPr>
              <w:t>10</w:t>
            </w:r>
            <w:r>
              <w:rPr>
                <w:noProof/>
                <w:webHidden/>
              </w:rPr>
              <w:fldChar w:fldCharType="end"/>
            </w:r>
          </w:hyperlink>
        </w:p>
        <w:p w14:paraId="530242F8" w14:textId="1DF3FA64"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76" w:history="1">
            <w:r w:rsidRPr="004779BA">
              <w:rPr>
                <w:rStyle w:val="Hiperveza"/>
                <w:rFonts w:eastAsia="Calibri"/>
                <w:noProof/>
              </w:rPr>
              <w:t>7.  NOVOSTI U PRIMJENI U PRORAČUNSKIM PROCESIMA OD 2026.</w:t>
            </w:r>
            <w:r>
              <w:rPr>
                <w:noProof/>
                <w:webHidden/>
              </w:rPr>
              <w:tab/>
            </w:r>
            <w:r>
              <w:rPr>
                <w:noProof/>
                <w:webHidden/>
              </w:rPr>
              <w:fldChar w:fldCharType="begin"/>
            </w:r>
            <w:r>
              <w:rPr>
                <w:noProof/>
                <w:webHidden/>
              </w:rPr>
              <w:instrText xml:space="preserve"> PAGEREF _Toc211859976 \h </w:instrText>
            </w:r>
            <w:r>
              <w:rPr>
                <w:noProof/>
                <w:webHidden/>
              </w:rPr>
            </w:r>
            <w:r>
              <w:rPr>
                <w:noProof/>
                <w:webHidden/>
              </w:rPr>
              <w:fldChar w:fldCharType="separate"/>
            </w:r>
            <w:r>
              <w:rPr>
                <w:noProof/>
                <w:webHidden/>
              </w:rPr>
              <w:t>11</w:t>
            </w:r>
            <w:r>
              <w:rPr>
                <w:noProof/>
                <w:webHidden/>
              </w:rPr>
              <w:fldChar w:fldCharType="end"/>
            </w:r>
          </w:hyperlink>
        </w:p>
        <w:p w14:paraId="18CFF851" w14:textId="3CE7CFE5" w:rsidR="00597654" w:rsidRDefault="00597654">
          <w:pPr>
            <w:pStyle w:val="Sadraj1"/>
            <w:tabs>
              <w:tab w:val="right" w:leader="dot" w:pos="9062"/>
            </w:tabs>
            <w:rPr>
              <w:rFonts w:asciiTheme="minorHAnsi" w:eastAsiaTheme="minorEastAsia" w:hAnsiTheme="minorHAnsi" w:cstheme="minorBidi"/>
              <w:noProof/>
              <w:kern w:val="2"/>
              <w14:ligatures w14:val="standardContextual"/>
            </w:rPr>
          </w:pPr>
          <w:hyperlink w:anchor="_Toc211859977" w:history="1">
            <w:r w:rsidRPr="004779BA">
              <w:rPr>
                <w:rStyle w:val="Hiperveza"/>
                <w:rFonts w:eastAsia="Calibri"/>
                <w:noProof/>
              </w:rPr>
              <w:t>8.  DOSTAVA DOKUMENATA I DOSTUPNOST MATERIJALA NA MREŽNOJ STRANICI</w:t>
            </w:r>
            <w:r>
              <w:rPr>
                <w:noProof/>
                <w:webHidden/>
              </w:rPr>
              <w:tab/>
            </w:r>
            <w:r>
              <w:rPr>
                <w:noProof/>
                <w:webHidden/>
              </w:rPr>
              <w:fldChar w:fldCharType="begin"/>
            </w:r>
            <w:r>
              <w:rPr>
                <w:noProof/>
                <w:webHidden/>
              </w:rPr>
              <w:instrText xml:space="preserve"> PAGEREF _Toc211859977 \h </w:instrText>
            </w:r>
            <w:r>
              <w:rPr>
                <w:noProof/>
                <w:webHidden/>
              </w:rPr>
            </w:r>
            <w:r>
              <w:rPr>
                <w:noProof/>
                <w:webHidden/>
              </w:rPr>
              <w:fldChar w:fldCharType="separate"/>
            </w:r>
            <w:r>
              <w:rPr>
                <w:noProof/>
                <w:webHidden/>
              </w:rPr>
              <w:t>11</w:t>
            </w:r>
            <w:r>
              <w:rPr>
                <w:noProof/>
                <w:webHidden/>
              </w:rPr>
              <w:fldChar w:fldCharType="end"/>
            </w:r>
          </w:hyperlink>
        </w:p>
        <w:p w14:paraId="7D75F531" w14:textId="5EE3730E"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78" w:history="1">
            <w:r w:rsidRPr="00597654">
              <w:rPr>
                <w:rStyle w:val="Hiperveza"/>
                <w:rFonts w:eastAsia="Calibri"/>
                <w:noProof/>
              </w:rPr>
              <w:t>8.1. Dostava proračunskih dokumenata Ministarstvu financija i Državnom uredu za reviziju</w:t>
            </w:r>
            <w:r w:rsidRPr="00597654">
              <w:rPr>
                <w:noProof/>
                <w:webHidden/>
              </w:rPr>
              <w:tab/>
            </w:r>
            <w:r w:rsidRPr="00597654">
              <w:rPr>
                <w:noProof/>
                <w:webHidden/>
              </w:rPr>
              <w:fldChar w:fldCharType="begin"/>
            </w:r>
            <w:r w:rsidRPr="00597654">
              <w:rPr>
                <w:noProof/>
                <w:webHidden/>
              </w:rPr>
              <w:instrText xml:space="preserve"> PAGEREF _Toc211859978 \h </w:instrText>
            </w:r>
            <w:r w:rsidRPr="00597654">
              <w:rPr>
                <w:noProof/>
                <w:webHidden/>
              </w:rPr>
            </w:r>
            <w:r w:rsidRPr="00597654">
              <w:rPr>
                <w:noProof/>
                <w:webHidden/>
              </w:rPr>
              <w:fldChar w:fldCharType="separate"/>
            </w:r>
            <w:r w:rsidRPr="00597654">
              <w:rPr>
                <w:noProof/>
                <w:webHidden/>
              </w:rPr>
              <w:t>11</w:t>
            </w:r>
            <w:r w:rsidRPr="00597654">
              <w:rPr>
                <w:noProof/>
                <w:webHidden/>
              </w:rPr>
              <w:fldChar w:fldCharType="end"/>
            </w:r>
          </w:hyperlink>
        </w:p>
        <w:p w14:paraId="314C5ABA" w14:textId="648A424A"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79" w:history="1">
            <w:r w:rsidRPr="00597654">
              <w:rPr>
                <w:rStyle w:val="Hiperveza"/>
                <w:rFonts w:eastAsia="Calibri"/>
                <w:noProof/>
              </w:rPr>
              <w:t>8.2. Dostava proračunskih dokumenata Ministarstvu financija radi nadzora zakonitosti</w:t>
            </w:r>
            <w:r w:rsidRPr="00597654">
              <w:rPr>
                <w:noProof/>
                <w:webHidden/>
              </w:rPr>
              <w:tab/>
            </w:r>
            <w:r w:rsidRPr="00597654">
              <w:rPr>
                <w:noProof/>
                <w:webHidden/>
              </w:rPr>
              <w:fldChar w:fldCharType="begin"/>
            </w:r>
            <w:r w:rsidRPr="00597654">
              <w:rPr>
                <w:noProof/>
                <w:webHidden/>
              </w:rPr>
              <w:instrText xml:space="preserve"> PAGEREF _Toc211859979 \h </w:instrText>
            </w:r>
            <w:r w:rsidRPr="00597654">
              <w:rPr>
                <w:noProof/>
                <w:webHidden/>
              </w:rPr>
            </w:r>
            <w:r w:rsidRPr="00597654">
              <w:rPr>
                <w:noProof/>
                <w:webHidden/>
              </w:rPr>
              <w:fldChar w:fldCharType="separate"/>
            </w:r>
            <w:r w:rsidRPr="00597654">
              <w:rPr>
                <w:noProof/>
                <w:webHidden/>
              </w:rPr>
              <w:t>12</w:t>
            </w:r>
            <w:r w:rsidRPr="00597654">
              <w:rPr>
                <w:noProof/>
                <w:webHidden/>
              </w:rPr>
              <w:fldChar w:fldCharType="end"/>
            </w:r>
          </w:hyperlink>
        </w:p>
        <w:p w14:paraId="59416A36" w14:textId="43DC14B2" w:rsidR="00597654" w:rsidRPr="00597654" w:rsidRDefault="00597654">
          <w:pPr>
            <w:pStyle w:val="Sadraj2"/>
            <w:tabs>
              <w:tab w:val="right" w:leader="dot" w:pos="9062"/>
            </w:tabs>
            <w:rPr>
              <w:rFonts w:asciiTheme="minorHAnsi" w:eastAsiaTheme="minorEastAsia" w:hAnsiTheme="minorHAnsi" w:cstheme="minorBidi"/>
              <w:noProof/>
              <w:kern w:val="2"/>
              <w14:ligatures w14:val="standardContextual"/>
            </w:rPr>
          </w:pPr>
          <w:hyperlink w:anchor="_Toc211859980" w:history="1">
            <w:r w:rsidRPr="00597654">
              <w:rPr>
                <w:rStyle w:val="Hiperveza"/>
                <w:rFonts w:eastAsia="Calibri"/>
                <w:noProof/>
              </w:rPr>
              <w:t>8.3. Dostava ugovora te izvješća o zaduženju, danim jamstvima i suglasnostima (Obrazac IZJS - Izvješće o zaduženju / jamstvu / suglasnosti)</w:t>
            </w:r>
            <w:r w:rsidRPr="00597654">
              <w:rPr>
                <w:noProof/>
                <w:webHidden/>
              </w:rPr>
              <w:tab/>
            </w:r>
            <w:r w:rsidRPr="00597654">
              <w:rPr>
                <w:noProof/>
                <w:webHidden/>
              </w:rPr>
              <w:fldChar w:fldCharType="begin"/>
            </w:r>
            <w:r w:rsidRPr="00597654">
              <w:rPr>
                <w:noProof/>
                <w:webHidden/>
              </w:rPr>
              <w:instrText xml:space="preserve"> PAGEREF _Toc211859980 \h </w:instrText>
            </w:r>
            <w:r w:rsidRPr="00597654">
              <w:rPr>
                <w:noProof/>
                <w:webHidden/>
              </w:rPr>
            </w:r>
            <w:r w:rsidRPr="00597654">
              <w:rPr>
                <w:noProof/>
                <w:webHidden/>
              </w:rPr>
              <w:fldChar w:fldCharType="separate"/>
            </w:r>
            <w:r w:rsidRPr="00597654">
              <w:rPr>
                <w:noProof/>
                <w:webHidden/>
              </w:rPr>
              <w:t>12</w:t>
            </w:r>
            <w:r w:rsidRPr="00597654">
              <w:rPr>
                <w:noProof/>
                <w:webHidden/>
              </w:rPr>
              <w:fldChar w:fldCharType="end"/>
            </w:r>
          </w:hyperlink>
        </w:p>
        <w:p w14:paraId="03A391ED" w14:textId="01010B3D" w:rsidR="00597654" w:rsidRDefault="00597654">
          <w:r>
            <w:rPr>
              <w:b/>
              <w:bCs/>
            </w:rPr>
            <w:fldChar w:fldCharType="end"/>
          </w:r>
        </w:p>
      </w:sdtContent>
    </w:sdt>
    <w:p w14:paraId="5D2E876D" w14:textId="77777777" w:rsidR="003C7ACE" w:rsidRDefault="003C7ACE" w:rsidP="003C7ACE">
      <w:pPr>
        <w:rPr>
          <w:b/>
          <w:bCs/>
          <w:color w:val="000000"/>
          <w:lang w:eastAsia="en-US"/>
        </w:rPr>
      </w:pPr>
    </w:p>
    <w:p w14:paraId="07DE959A" w14:textId="77777777" w:rsidR="003C7ACE" w:rsidRDefault="003C7ACE" w:rsidP="003C7ACE">
      <w:pPr>
        <w:rPr>
          <w:b/>
          <w:bCs/>
          <w:color w:val="000000"/>
          <w:lang w:eastAsia="en-US"/>
        </w:rPr>
      </w:pPr>
    </w:p>
    <w:p w14:paraId="73E30379" w14:textId="77777777" w:rsidR="003C7ACE" w:rsidRDefault="003C7ACE" w:rsidP="003C7ACE">
      <w:pPr>
        <w:rPr>
          <w:b/>
          <w:bCs/>
          <w:color w:val="000000"/>
          <w:lang w:eastAsia="en-US"/>
        </w:rPr>
      </w:pPr>
    </w:p>
    <w:p w14:paraId="64E059D6" w14:textId="77777777" w:rsidR="003C7ACE" w:rsidRDefault="003C7ACE" w:rsidP="003C7ACE">
      <w:pPr>
        <w:rPr>
          <w:b/>
          <w:bCs/>
          <w:color w:val="000000"/>
          <w:lang w:eastAsia="en-US"/>
        </w:rPr>
      </w:pPr>
    </w:p>
    <w:p w14:paraId="678C881C" w14:textId="77777777" w:rsidR="003C7ACE" w:rsidRDefault="003C7ACE" w:rsidP="003C7ACE">
      <w:pPr>
        <w:rPr>
          <w:b/>
          <w:bCs/>
          <w:color w:val="000000"/>
          <w:lang w:eastAsia="en-US"/>
        </w:rPr>
      </w:pPr>
    </w:p>
    <w:p w14:paraId="0212573C" w14:textId="77777777" w:rsidR="003C7ACE" w:rsidRDefault="003C7ACE" w:rsidP="003C7ACE">
      <w:pPr>
        <w:rPr>
          <w:b/>
          <w:bCs/>
          <w:color w:val="000000"/>
          <w:lang w:eastAsia="en-US"/>
        </w:rPr>
      </w:pPr>
    </w:p>
    <w:p w14:paraId="3CFCD552" w14:textId="77777777" w:rsidR="003C7ACE" w:rsidRDefault="003C7ACE" w:rsidP="003C7ACE">
      <w:pPr>
        <w:rPr>
          <w:b/>
          <w:bCs/>
          <w:color w:val="000000"/>
          <w:lang w:eastAsia="en-US"/>
        </w:rPr>
      </w:pPr>
    </w:p>
    <w:p w14:paraId="25AA213F" w14:textId="77777777" w:rsidR="003C7ACE" w:rsidRDefault="003C7ACE" w:rsidP="003C7ACE">
      <w:pPr>
        <w:rPr>
          <w:b/>
          <w:bCs/>
          <w:color w:val="000000"/>
          <w:lang w:eastAsia="en-US"/>
        </w:rPr>
      </w:pPr>
    </w:p>
    <w:p w14:paraId="0CA48274" w14:textId="77777777" w:rsidR="003C7ACE" w:rsidRDefault="003C7ACE" w:rsidP="003C7ACE">
      <w:pPr>
        <w:rPr>
          <w:b/>
          <w:bCs/>
          <w:color w:val="000000"/>
          <w:lang w:eastAsia="en-US"/>
        </w:rPr>
      </w:pPr>
    </w:p>
    <w:p w14:paraId="4C28E880" w14:textId="77777777" w:rsidR="003C7ACE" w:rsidRDefault="003C7ACE" w:rsidP="003C7ACE">
      <w:pPr>
        <w:rPr>
          <w:b/>
          <w:bCs/>
          <w:color w:val="000000"/>
          <w:lang w:eastAsia="en-US"/>
        </w:rPr>
      </w:pPr>
    </w:p>
    <w:p w14:paraId="4E8C68B1" w14:textId="77777777" w:rsidR="003C7ACE" w:rsidRDefault="003C7ACE" w:rsidP="003C7ACE">
      <w:pPr>
        <w:rPr>
          <w:b/>
          <w:bCs/>
          <w:color w:val="000000"/>
          <w:lang w:eastAsia="en-US"/>
        </w:rPr>
      </w:pPr>
    </w:p>
    <w:p w14:paraId="3CBA095B" w14:textId="77777777" w:rsidR="003C7ACE" w:rsidRDefault="003C7ACE" w:rsidP="003C7ACE">
      <w:pPr>
        <w:rPr>
          <w:b/>
          <w:bCs/>
          <w:color w:val="000000"/>
          <w:lang w:eastAsia="en-US"/>
        </w:rPr>
      </w:pPr>
    </w:p>
    <w:p w14:paraId="3F02D6E8" w14:textId="77777777" w:rsidR="00DC62AD" w:rsidRPr="00E378A6" w:rsidRDefault="00DC62AD" w:rsidP="00E378A6">
      <w:pPr>
        <w:rPr>
          <w:lang w:eastAsia="en-US"/>
        </w:rPr>
      </w:pPr>
    </w:p>
    <w:p w14:paraId="09065E42" w14:textId="42CE8B67" w:rsidR="00E378A6" w:rsidRDefault="00E378A6" w:rsidP="002B3CD3">
      <w:pPr>
        <w:pStyle w:val="Naslov1"/>
        <w:numPr>
          <w:ilvl w:val="0"/>
          <w:numId w:val="8"/>
        </w:numPr>
      </w:pPr>
      <w:bookmarkStart w:id="0" w:name="_Toc211859576"/>
      <w:bookmarkStart w:id="1" w:name="_Toc211859963"/>
      <w:r w:rsidRPr="00E378A6">
        <w:lastRenderedPageBreak/>
        <w:t>UVOD</w:t>
      </w:r>
      <w:bookmarkEnd w:id="0"/>
      <w:bookmarkEnd w:id="1"/>
      <w:r w:rsidRPr="00E378A6">
        <w:t xml:space="preserve"> </w:t>
      </w:r>
    </w:p>
    <w:p w14:paraId="4665D186" w14:textId="77777777" w:rsidR="00E378A6" w:rsidRPr="00E378A6" w:rsidRDefault="00E378A6" w:rsidP="00864BC2">
      <w:pPr>
        <w:pStyle w:val="Odlomakpopisa"/>
        <w:jc w:val="both"/>
        <w:rPr>
          <w:b/>
        </w:rPr>
      </w:pPr>
    </w:p>
    <w:p w14:paraId="2E72B50C" w14:textId="1C20FE27" w:rsidR="00E378A6" w:rsidRDefault="009939F7" w:rsidP="00351FF5">
      <w:pPr>
        <w:pStyle w:val="Bezproreda"/>
        <w:ind w:firstLine="360"/>
        <w:jc w:val="both"/>
      </w:pPr>
      <w:r>
        <w:t>Sukladno Zakonu o proračunu („Narodne novine“ br. 144/21., dalje u tekstu: Zakon o proračunu), koji je na snazi od 01.siječnja 2022. godine, Ministars</w:t>
      </w:r>
      <w:r w:rsidR="0077412D">
        <w:t>t</w:t>
      </w:r>
      <w:r>
        <w:t xml:space="preserve">vo financija dostavlja upute za izradu proračuna jedinica lokalne i područne (regionalne) samouprave za nadolazeće proračunsko razdoblje. Upute se dostavljaju svim proračunskim korisnicima i nalaze se na internetskim stranicama Ministarstva financija </w:t>
      </w:r>
      <w:hyperlink r:id="rId8" w:history="1">
        <w:r w:rsidRPr="004D1AAD">
          <w:rPr>
            <w:rStyle w:val="Hiperveza"/>
          </w:rPr>
          <w:t>https://mfin.gov.hr/istaknute-teme/lokalna-samouprava/upute-za-izradu-proracuna-jlp-r-s/205</w:t>
        </w:r>
      </w:hyperlink>
      <w:r>
        <w:t>. U skladu sa objavljenim uputama za izradu prijedloga proračuna jedinica lokalne i područne (regionalne) samouprave za razdoblje od 2026.-2028. godine, a koje su objavljene 14. listopada 2025. godine</w:t>
      </w:r>
      <w:r w:rsidR="00B6181F">
        <w:t>,</w:t>
      </w:r>
      <w:r>
        <w:t xml:space="preserve"> izrađene su i ove upute za izradu</w:t>
      </w:r>
      <w:r w:rsidR="00AA10F4">
        <w:t xml:space="preserve"> proračuna i financijskog plana proračunskog korisnika za razdoblje 2026.-2028. godine.</w:t>
      </w:r>
    </w:p>
    <w:p w14:paraId="3B2048D1" w14:textId="77777777" w:rsidR="00E378A6" w:rsidRDefault="00E378A6" w:rsidP="00D227EB">
      <w:pPr>
        <w:pStyle w:val="Bezproreda"/>
        <w:jc w:val="both"/>
      </w:pPr>
    </w:p>
    <w:p w14:paraId="60965317" w14:textId="1A9FB49D" w:rsidR="00E378A6" w:rsidRPr="00351FF5" w:rsidRDefault="00E378A6" w:rsidP="00351FF5">
      <w:pPr>
        <w:pStyle w:val="Bezproreda"/>
        <w:ind w:firstLine="360"/>
        <w:jc w:val="both"/>
      </w:pPr>
      <w:r>
        <w:t>Rokovi i metodologija za izradu prijedloga proračuna utvrđeni su Zakonom o proračunu</w:t>
      </w:r>
      <w:r w:rsidR="00B6181F">
        <w:t xml:space="preserve"> i podzakonskim aktima kojima se regulira provedba navedenog Zakona, ponajprije Pravilnikom o proračunskim klasifikacijama („Narodne novine“ br. 4/24. i 122/25.) i Pravilnikom o proračunskom računovodstvu i Računskom planu („Narodne novine“ br. 158/23. i 154/24). Proračunski korisnik Općine Gornja Stubica obvezan je izrađivati financijske planove u skladu </w:t>
      </w:r>
      <w:r w:rsidR="00B6181F" w:rsidRPr="00351FF5">
        <w:t>s odredbama Zakona o proračunu i pridržavati se ovih Uputa.</w:t>
      </w:r>
    </w:p>
    <w:p w14:paraId="01FE790B" w14:textId="77777777" w:rsidR="00E378A6" w:rsidRPr="00520F68" w:rsidRDefault="00E378A6" w:rsidP="00D227EB">
      <w:pPr>
        <w:pStyle w:val="Bezproreda"/>
        <w:jc w:val="both"/>
        <w:rPr>
          <w:color w:val="EE0000"/>
        </w:rPr>
      </w:pPr>
    </w:p>
    <w:p w14:paraId="164B517A" w14:textId="3880577D" w:rsidR="004E36F5" w:rsidRDefault="004E36F5" w:rsidP="002B3CD3">
      <w:pPr>
        <w:pStyle w:val="Naslov1"/>
      </w:pPr>
      <w:bookmarkStart w:id="2" w:name="_Toc211859577"/>
      <w:bookmarkStart w:id="3" w:name="_Toc211859964"/>
      <w:r>
        <w:t xml:space="preserve">2. </w:t>
      </w:r>
      <w:r w:rsidRPr="00A031B5">
        <w:t>TEMELJNI MAKROEKONOMSKI POKAZATELJI ZA RAZDOBLJE 202</w:t>
      </w:r>
      <w:r w:rsidR="00351FF5">
        <w:t>6</w:t>
      </w:r>
      <w:r w:rsidRPr="00A031B5">
        <w:t>. - 202</w:t>
      </w:r>
      <w:r w:rsidR="00351FF5">
        <w:t>8</w:t>
      </w:r>
      <w:r w:rsidRPr="00A031B5">
        <w:t>.</w:t>
      </w:r>
      <w:bookmarkEnd w:id="2"/>
      <w:bookmarkEnd w:id="3"/>
      <w:r w:rsidRPr="00A031B5">
        <w:t xml:space="preserve"> </w:t>
      </w:r>
    </w:p>
    <w:p w14:paraId="628171B6" w14:textId="77777777" w:rsidR="004E36F5" w:rsidRDefault="004E36F5" w:rsidP="00D227EB">
      <w:pPr>
        <w:jc w:val="both"/>
        <w:rPr>
          <w:b/>
        </w:rPr>
      </w:pPr>
    </w:p>
    <w:p w14:paraId="1AF43C65" w14:textId="5C528CF1" w:rsidR="004E36F5" w:rsidRDefault="004E36F5" w:rsidP="00351FF5">
      <w:pPr>
        <w:ind w:firstLine="708"/>
        <w:jc w:val="both"/>
      </w:pPr>
      <w:r>
        <w:rPr>
          <w:bCs/>
        </w:rPr>
        <w:t>U skladu s člankom 26. Zakona o proračunu</w:t>
      </w:r>
      <w:r w:rsidR="00351FF5">
        <w:rPr>
          <w:bCs/>
        </w:rPr>
        <w:t xml:space="preserve">, </w:t>
      </w:r>
      <w:r>
        <w:rPr>
          <w:bCs/>
        </w:rPr>
        <w:t>uput</w:t>
      </w:r>
      <w:r w:rsidR="00860EB9">
        <w:rPr>
          <w:bCs/>
        </w:rPr>
        <w:t>e</w:t>
      </w:r>
      <w:r>
        <w:rPr>
          <w:bCs/>
        </w:rPr>
        <w:t xml:space="preserve"> koje izrađuje </w:t>
      </w:r>
      <w:r w:rsidRPr="00B524CA">
        <w:t xml:space="preserve">jedinica lokalne i područne </w:t>
      </w:r>
      <w:r>
        <w:t>(r</w:t>
      </w:r>
      <w:r w:rsidRPr="00B524CA">
        <w:t>egionalne) samouprave</w:t>
      </w:r>
      <w:r>
        <w:t xml:space="preserve"> treba</w:t>
      </w:r>
      <w:r w:rsidR="004C09BE">
        <w:t>ju</w:t>
      </w:r>
      <w:r>
        <w:t xml:space="preserve"> sadržavati temeljne makroekonomske pokazatelje za izradu prijedloga proračuna.</w:t>
      </w:r>
      <w:r w:rsidRPr="00B524CA">
        <w:t xml:space="preserve"> </w:t>
      </w:r>
    </w:p>
    <w:p w14:paraId="1CE14333" w14:textId="77777777" w:rsidR="004E36F5" w:rsidRDefault="004E36F5" w:rsidP="00D227EB">
      <w:pPr>
        <w:jc w:val="both"/>
      </w:pPr>
    </w:p>
    <w:p w14:paraId="5BF1211E" w14:textId="0DEBDC5B" w:rsidR="004E36F5" w:rsidRDefault="00351FF5" w:rsidP="00351FF5">
      <w:pPr>
        <w:pStyle w:val="Bezproreda"/>
        <w:ind w:firstLine="708"/>
        <w:jc w:val="both"/>
        <w:rPr>
          <w:rFonts w:cs="Times New Roman"/>
          <w:szCs w:val="24"/>
        </w:rPr>
      </w:pPr>
      <w:r>
        <w:rPr>
          <w:rFonts w:cs="Times New Roman"/>
          <w:szCs w:val="24"/>
        </w:rPr>
        <w:t>Obzirom da u uputama za izradu prijedloga proračuna jedinica lokalne i područne (regionalne samouprave) za razdoblje 2026.-2028. godine nisu objavljeni makroekonomski pokazatelji za razdoblje 2026.-2028. godine, u nastavku se daje prikaz trenutno jedino dostupnih makroekonomskih projekcija za 2026. godinu koje je objavila Hrvatska narodna banka u svom priopćenju iz lipnja 2025. godine.</w:t>
      </w:r>
    </w:p>
    <w:p w14:paraId="0F20DE4F" w14:textId="77777777" w:rsidR="00351FF5" w:rsidRDefault="00351FF5" w:rsidP="00D227EB">
      <w:pPr>
        <w:pStyle w:val="Bezproreda"/>
        <w:jc w:val="both"/>
        <w:rPr>
          <w:rFonts w:cs="Times New Roman"/>
          <w:szCs w:val="24"/>
        </w:rPr>
      </w:pPr>
    </w:p>
    <w:p w14:paraId="3958B951" w14:textId="77777777" w:rsidR="00351FF5" w:rsidRPr="0074341E" w:rsidRDefault="00351FF5" w:rsidP="00351FF5">
      <w:pPr>
        <w:jc w:val="both"/>
      </w:pPr>
      <w:r w:rsidRPr="0068342F">
        <w:rPr>
          <w:b/>
          <w:bCs/>
        </w:rPr>
        <w:t xml:space="preserve">Tablica 1. Makroekonomske projekcije za 2026. godinu </w:t>
      </w:r>
    </w:p>
    <w:p w14:paraId="1BCA26E1" w14:textId="77777777" w:rsidR="00351FF5" w:rsidRDefault="00351FF5" w:rsidP="00351FF5">
      <w:pPr>
        <w:jc w:val="both"/>
      </w:pPr>
      <w:r>
        <w:t xml:space="preserve">    </w:t>
      </w:r>
      <w:r>
        <w:tab/>
      </w:r>
      <w:r>
        <w:tab/>
      </w:r>
      <w:r>
        <w:tab/>
      </w:r>
      <w:r>
        <w:tab/>
      </w:r>
      <w:r>
        <w:tab/>
      </w:r>
      <w:r>
        <w:tab/>
      </w:r>
      <w:r>
        <w:tab/>
        <w:t xml:space="preserve">  </w:t>
      </w:r>
      <w:r w:rsidRPr="008734F7">
        <w:t xml:space="preserve">Projekcija 2025. </w:t>
      </w:r>
      <w:r>
        <w:t xml:space="preserve">         </w:t>
      </w:r>
      <w:r w:rsidRPr="008734F7">
        <w:t>Projekcija 2026.</w:t>
      </w:r>
    </w:p>
    <w:p w14:paraId="35424009" w14:textId="77777777" w:rsidR="00351FF5"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734F7">
        <w:t xml:space="preserve"> BDP - realni rast (stopa promjene, %) </w:t>
      </w:r>
      <w:r>
        <w:t xml:space="preserve">                                       </w:t>
      </w:r>
      <w:r w:rsidRPr="008734F7">
        <w:t xml:space="preserve">3,3 </w:t>
      </w:r>
      <w:r>
        <w:t xml:space="preserve">                          </w:t>
      </w:r>
      <w:r w:rsidRPr="008734F7">
        <w:t xml:space="preserve">2,9 </w:t>
      </w:r>
    </w:p>
    <w:p w14:paraId="499F58E2" w14:textId="77777777" w:rsidR="00351FF5"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734F7">
        <w:t>Indeks potrošačkih cijena (stopa promjene, %)</w:t>
      </w:r>
      <w:r>
        <w:t xml:space="preserve">                          </w:t>
      </w:r>
      <w:r w:rsidRPr="008734F7">
        <w:t xml:space="preserve"> 3,6 </w:t>
      </w:r>
      <w:r>
        <w:t xml:space="preserve">                          </w:t>
      </w:r>
      <w:r w:rsidRPr="008734F7">
        <w:t>2,6</w:t>
      </w:r>
    </w:p>
    <w:p w14:paraId="0121B81D" w14:textId="77777777" w:rsidR="00351FF5"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734F7">
        <w:t xml:space="preserve"> Stopa nezaposlenosti (%) </w:t>
      </w:r>
      <w:r>
        <w:tab/>
      </w:r>
      <w:r>
        <w:tab/>
      </w:r>
      <w:r>
        <w:tab/>
      </w:r>
      <w:r>
        <w:tab/>
        <w:t xml:space="preserve">                   4,7</w:t>
      </w:r>
      <w:r>
        <w:tab/>
      </w:r>
      <w:r>
        <w:tab/>
        <w:t xml:space="preserve">   </w:t>
      </w:r>
      <w:r w:rsidRPr="008734F7">
        <w:t>4,</w:t>
      </w:r>
      <w:r>
        <w:t>4</w:t>
      </w:r>
    </w:p>
    <w:p w14:paraId="05A0D421" w14:textId="77777777" w:rsidR="00351FF5"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734F7">
        <w:t xml:space="preserve"> Broj zaposlenih (stopa promjene, %) </w:t>
      </w:r>
      <w:r>
        <w:t xml:space="preserve">                                        2,8                         </w:t>
      </w:r>
      <w:r w:rsidRPr="008734F7">
        <w:t xml:space="preserve"> </w:t>
      </w:r>
      <w:r>
        <w:t xml:space="preserve"> 1,8</w:t>
      </w:r>
    </w:p>
    <w:p w14:paraId="05F6B42F" w14:textId="77777777" w:rsidR="00351FF5"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734F7">
        <w:t>Nominalne bruto plaće (stopa promjene, %)</w:t>
      </w:r>
      <w:r>
        <w:t xml:space="preserve">                              </w:t>
      </w:r>
      <w:r w:rsidRPr="008734F7">
        <w:t xml:space="preserve"> </w:t>
      </w:r>
      <w:r>
        <w:t xml:space="preserve">9,5                          </w:t>
      </w:r>
      <w:r w:rsidRPr="008734F7">
        <w:t xml:space="preserve"> </w:t>
      </w:r>
      <w:r>
        <w:t>5,7</w:t>
      </w:r>
    </w:p>
    <w:p w14:paraId="646B24E7" w14:textId="77777777" w:rsidR="00351FF5"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8734F7">
        <w:t xml:space="preserve">Realne bruto plaće (stopa promjene, %) </w:t>
      </w:r>
      <w:r>
        <w:t xml:space="preserve">                             </w:t>
      </w:r>
      <w:r w:rsidRPr="008734F7">
        <w:t xml:space="preserve"> </w:t>
      </w:r>
      <w:r>
        <w:t xml:space="preserve">      </w:t>
      </w:r>
      <w:r w:rsidRPr="008734F7">
        <w:t>6,5</w:t>
      </w:r>
      <w:r>
        <w:tab/>
      </w:r>
      <w:r>
        <w:tab/>
      </w:r>
      <w:r>
        <w:tab/>
        <w:t xml:space="preserve">   3,4</w:t>
      </w:r>
    </w:p>
    <w:p w14:paraId="7D73AAD3" w14:textId="77777777" w:rsidR="00351FF5" w:rsidRPr="00052D13" w:rsidRDefault="00351FF5" w:rsidP="00351FF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052D13">
        <w:rPr>
          <w:b/>
          <w:bCs/>
        </w:rPr>
        <w:t xml:space="preserve">Izvor: Hrvatska narodna banka </w:t>
      </w:r>
    </w:p>
    <w:p w14:paraId="5E3F3F3E" w14:textId="77777777" w:rsidR="00351FF5" w:rsidRDefault="00351FF5" w:rsidP="00D227EB">
      <w:pPr>
        <w:pStyle w:val="Bezproreda"/>
        <w:jc w:val="both"/>
        <w:rPr>
          <w:rFonts w:cs="Times New Roman"/>
          <w:szCs w:val="24"/>
        </w:rPr>
      </w:pPr>
    </w:p>
    <w:p w14:paraId="74737E3B" w14:textId="5841147F" w:rsidR="00351FF5" w:rsidRDefault="00351FF5" w:rsidP="00D227EB">
      <w:pPr>
        <w:pStyle w:val="Bezproreda"/>
        <w:jc w:val="both"/>
        <w:rPr>
          <w:rFonts w:cs="Times New Roman"/>
          <w:szCs w:val="24"/>
        </w:rPr>
      </w:pPr>
      <w:r>
        <w:rPr>
          <w:rFonts w:cs="Times New Roman"/>
          <w:szCs w:val="24"/>
        </w:rPr>
        <w:tab/>
        <w:t>Proračun Općine Gornja Stubica za razdoblje 2026.-2028. biti će usmjeren na: konsolidaciju proračunskih tijekova i uspostavljanje strukturne ravnoteže prihoda i rashoda Proračuna Općine Gornja Stubica, održivi gospodarski razvoj, razvoj ljudskih potencijala, porast životnog standarda kroz daljnji razvoj</w:t>
      </w:r>
      <w:r w:rsidR="0018693C">
        <w:rPr>
          <w:rFonts w:cs="Times New Roman"/>
          <w:szCs w:val="24"/>
        </w:rPr>
        <w:t xml:space="preserve"> prometne i komunalne infrastrukture, promoviranje i poticanje kulturnih događanja, održavanje i poticanje socijalnih programa, očuvanje okoliša, razvoj sustava gospodarenja otpadom, unaprjeđenje kvalitete odgojno-obrazovnog sustava, razvoj turizma, poticanje sporta i sportskih aktivnosti.</w:t>
      </w:r>
    </w:p>
    <w:p w14:paraId="144ED388" w14:textId="77777777" w:rsidR="002B3CD3" w:rsidRDefault="002B3CD3" w:rsidP="002B3CD3">
      <w:pPr>
        <w:pStyle w:val="Naslov1"/>
      </w:pPr>
    </w:p>
    <w:p w14:paraId="0DB479CE" w14:textId="1B5B2EB8" w:rsidR="00D632E8" w:rsidRDefault="00D632E8" w:rsidP="002B3CD3">
      <w:pPr>
        <w:pStyle w:val="Naslov1"/>
      </w:pPr>
      <w:bookmarkStart w:id="4" w:name="_Toc211859578"/>
      <w:bookmarkStart w:id="5" w:name="_Toc211859965"/>
      <w:r>
        <w:t>3. UPUTE</w:t>
      </w:r>
      <w:r w:rsidR="00494DBD">
        <w:t xml:space="preserve"> </w:t>
      </w:r>
      <w:r w:rsidR="00216DEA">
        <w:t>ODSJEKA ZA FINANCIJE I PRORAČUN</w:t>
      </w:r>
      <w:bookmarkEnd w:id="4"/>
      <w:bookmarkEnd w:id="5"/>
    </w:p>
    <w:p w14:paraId="37CF75D0" w14:textId="77777777" w:rsidR="00494DBD" w:rsidRDefault="00494DBD" w:rsidP="00D632E8">
      <w:pPr>
        <w:jc w:val="both"/>
        <w:rPr>
          <w:b/>
        </w:rPr>
      </w:pPr>
    </w:p>
    <w:p w14:paraId="35415294" w14:textId="009B65BB" w:rsidR="00494DBD" w:rsidRPr="003D5AE8" w:rsidRDefault="003D5AE8" w:rsidP="003D5AE8">
      <w:pPr>
        <w:pStyle w:val="Naslov2"/>
        <w:rPr>
          <w:b/>
          <w:bCs/>
        </w:rPr>
      </w:pPr>
      <w:bookmarkStart w:id="6" w:name="_Toc211859966"/>
      <w:r w:rsidRPr="003D5AE8">
        <w:rPr>
          <w:b/>
          <w:bCs/>
        </w:rPr>
        <w:t>3.1.</w:t>
      </w:r>
      <w:r w:rsidR="00494DBD" w:rsidRPr="003D5AE8">
        <w:rPr>
          <w:b/>
          <w:bCs/>
        </w:rPr>
        <w:t xml:space="preserve"> Odrednice prihoda i rashoda proračuna jedinice lokalne i područne (regionalne) samouprave</w:t>
      </w:r>
      <w:bookmarkEnd w:id="6"/>
    </w:p>
    <w:p w14:paraId="2609BA14" w14:textId="77777777" w:rsidR="00494DBD" w:rsidRPr="00D2728A" w:rsidRDefault="00494DBD" w:rsidP="00494DBD">
      <w:pPr>
        <w:jc w:val="both"/>
        <w:rPr>
          <w:color w:val="FF0000"/>
        </w:rPr>
      </w:pPr>
    </w:p>
    <w:p w14:paraId="1A90ACE8" w14:textId="2B6A014A" w:rsidR="00494DBD" w:rsidRDefault="00494DBD" w:rsidP="00494DBD">
      <w:pPr>
        <w:jc w:val="both"/>
      </w:pPr>
      <w:r w:rsidRPr="00486FDB">
        <w:t xml:space="preserve">          </w:t>
      </w:r>
      <w:r>
        <w:t xml:space="preserve">   </w:t>
      </w:r>
      <w:r w:rsidRPr="00486FDB">
        <w:t xml:space="preserve">Jedinice lokalne i područne (regionalne) samouprave pri izradi prijedloga </w:t>
      </w:r>
      <w:r>
        <w:t xml:space="preserve">proračuna </w:t>
      </w:r>
      <w:r w:rsidRPr="00486FDB">
        <w:t xml:space="preserve">izrađuju plan rashoda uzimajući u obzir vlastite gospodarske i društvene specifičnosti pridržavajući se odredbi Zakona o proračunu i Zakona o fiskalnoj odgovornosti. </w:t>
      </w:r>
      <w:r w:rsidRPr="00D02A8E">
        <w:t xml:space="preserve">Stoga, treba naglasiti da je </w:t>
      </w:r>
      <w:r w:rsidRPr="00D02A8E">
        <w:rPr>
          <w:bCs/>
        </w:rPr>
        <w:t>čelnik jedinice lokalne i područne i (regionalne)</w:t>
      </w:r>
      <w:r w:rsidRPr="00D02A8E">
        <w:t xml:space="preserve"> </w:t>
      </w:r>
      <w:r w:rsidRPr="00D02A8E">
        <w:rPr>
          <w:bCs/>
        </w:rPr>
        <w:t>samouprave i proračunsk</w:t>
      </w:r>
      <w:r>
        <w:rPr>
          <w:bCs/>
        </w:rPr>
        <w:t>og korisnika</w:t>
      </w:r>
      <w:r w:rsidRPr="00D02A8E">
        <w:rPr>
          <w:bCs/>
        </w:rPr>
        <w:t xml:space="preserve"> odgovoran</w:t>
      </w:r>
      <w:r w:rsidRPr="00D02A8E">
        <w:t xml:space="preserve">, osim za zakonito planiranje i izvršavanje proračuna odnosno financijskog plana, i </w:t>
      </w:r>
      <w:r w:rsidRPr="00D02A8E">
        <w:rPr>
          <w:bCs/>
        </w:rPr>
        <w:t>za svrhovitost, učinkovitost i za ekonomično raspolaganje proračunskim sredstvima proračuna odnosno financijskog plana.</w:t>
      </w:r>
      <w:r w:rsidRPr="00D02A8E">
        <w:t xml:space="preserve"> </w:t>
      </w:r>
    </w:p>
    <w:p w14:paraId="37B74A64" w14:textId="77777777" w:rsidR="00494DBD" w:rsidRDefault="00494DBD" w:rsidP="00494DBD">
      <w:pPr>
        <w:jc w:val="both"/>
      </w:pPr>
    </w:p>
    <w:p w14:paraId="44EAC824" w14:textId="5D5DFF9A" w:rsidR="00494DBD" w:rsidRPr="003D5AE8" w:rsidRDefault="003D5AE8" w:rsidP="003D5AE8">
      <w:pPr>
        <w:pStyle w:val="Naslov2"/>
        <w:rPr>
          <w:b/>
          <w:bCs/>
        </w:rPr>
      </w:pPr>
      <w:bookmarkStart w:id="7" w:name="_Toc211859967"/>
      <w:r w:rsidRPr="003D5AE8">
        <w:rPr>
          <w:b/>
          <w:bCs/>
        </w:rPr>
        <w:t xml:space="preserve">3.2. </w:t>
      </w:r>
      <w:r w:rsidR="00494DBD" w:rsidRPr="003D5AE8">
        <w:rPr>
          <w:b/>
          <w:bCs/>
        </w:rPr>
        <w:t xml:space="preserve">Procjena prihoda i rashoda, te primitaka i izdataka Općine </w:t>
      </w:r>
      <w:r w:rsidR="001E7FEE" w:rsidRPr="003D5AE8">
        <w:rPr>
          <w:b/>
          <w:bCs/>
        </w:rPr>
        <w:t>Gornja Stubica</w:t>
      </w:r>
      <w:r w:rsidR="00494DBD" w:rsidRPr="003D5AE8">
        <w:rPr>
          <w:b/>
          <w:bCs/>
        </w:rPr>
        <w:t xml:space="preserve"> u sljedeće tri godine</w:t>
      </w:r>
      <w:bookmarkEnd w:id="7"/>
    </w:p>
    <w:p w14:paraId="7E0CD8D4" w14:textId="77777777" w:rsidR="00494DBD" w:rsidRPr="00B65934" w:rsidRDefault="00494DBD" w:rsidP="00494DBD">
      <w:pPr>
        <w:pStyle w:val="Odlomakpopisa"/>
        <w:ind w:left="1080"/>
        <w:jc w:val="both"/>
        <w:rPr>
          <w:b/>
          <w:color w:val="ED7D31" w:themeColor="accent2"/>
        </w:rPr>
      </w:pPr>
    </w:p>
    <w:p w14:paraId="2DF4652F" w14:textId="77777777" w:rsidR="00216DEA" w:rsidRDefault="00494DBD" w:rsidP="00216DEA">
      <w:pPr>
        <w:ind w:firstLine="360"/>
        <w:jc w:val="both"/>
      </w:pPr>
      <w:r w:rsidRPr="00096078">
        <w:t xml:space="preserve">Prihodi jedinica lokalne i područne (regionalne) samouprave planiraju se na temelju istih makroekonomskih pretpostavki kao i kod prihoda državnog proračuna, u skladu s trenutnim kretanjima i makroekonomskim projekcijama za spomenuto razdoblje. </w:t>
      </w:r>
    </w:p>
    <w:p w14:paraId="4096E7A2" w14:textId="77777777" w:rsidR="00216DEA" w:rsidRDefault="00216DEA" w:rsidP="00216DEA">
      <w:pPr>
        <w:ind w:firstLine="360"/>
        <w:jc w:val="both"/>
      </w:pPr>
    </w:p>
    <w:p w14:paraId="39109717" w14:textId="6D419E4A" w:rsidR="00494DBD" w:rsidRDefault="00494DBD" w:rsidP="00216DEA">
      <w:pPr>
        <w:ind w:firstLine="360"/>
        <w:jc w:val="both"/>
      </w:pPr>
      <w:r w:rsidRPr="00096078">
        <w:t xml:space="preserve">Najvažniji prihodi jedinica lokalne i područne (regionalne) samouprave </w:t>
      </w:r>
      <w:r>
        <w:t xml:space="preserve">jesu prihodi od poreza </w:t>
      </w:r>
      <w:r w:rsidRPr="00096078">
        <w:t xml:space="preserve"> na dohodak. Očekuje se da će u naredne tri godine prihodi od poreza, kao i prihodi od imovine biti</w:t>
      </w:r>
      <w:r>
        <w:t xml:space="preserve"> na razini Proračuna Općine </w:t>
      </w:r>
      <w:r w:rsidR="00216DEA">
        <w:t>Gornja Stubica</w:t>
      </w:r>
      <w:r>
        <w:t xml:space="preserve"> za 2025</w:t>
      </w:r>
      <w:r w:rsidRPr="00096078">
        <w:t>.</w:t>
      </w:r>
      <w:r>
        <w:t xml:space="preserve"> godinu. Sredstva fiskalnog izravnanja osiguravat će se i dalje u državnom proračunu.</w:t>
      </w:r>
    </w:p>
    <w:p w14:paraId="5934B885" w14:textId="77777777" w:rsidR="00494DBD" w:rsidRPr="00096078" w:rsidRDefault="00494DBD" w:rsidP="00494DBD">
      <w:pPr>
        <w:jc w:val="both"/>
      </w:pPr>
    </w:p>
    <w:p w14:paraId="4C812FD0" w14:textId="09627A3E" w:rsidR="00494DBD" w:rsidRDefault="00494DBD" w:rsidP="00494DBD">
      <w:pPr>
        <w:jc w:val="both"/>
      </w:pPr>
      <w:r w:rsidRPr="00096078">
        <w:t xml:space="preserve"> </w:t>
      </w:r>
      <w:r w:rsidR="00216DEA">
        <w:tab/>
      </w:r>
      <w:r w:rsidRPr="00096078">
        <w:t xml:space="preserve">Bitno je istaknuti da pri izradi proračuna jedinica lokalne i područne (regionalne) samouprave, uz smjernice kretanja prihoda i rashoda, svaka jedinica samouprave izrađuje plan rashoda uzimajući u obzir vlastite gospodarske i društvene specifičnosti te pridržavajući se </w:t>
      </w:r>
      <w:r w:rsidRPr="005466C4">
        <w:t>Zakona o proračunu i Zakona o fiskalnoj odgovornosti.</w:t>
      </w:r>
    </w:p>
    <w:p w14:paraId="1648FDC5" w14:textId="77777777" w:rsidR="00494DBD" w:rsidRDefault="00494DBD" w:rsidP="00494DBD">
      <w:pPr>
        <w:jc w:val="both"/>
      </w:pPr>
    </w:p>
    <w:p w14:paraId="4D1AD41E" w14:textId="1CC03898" w:rsidR="00D632E8" w:rsidRDefault="00494DBD" w:rsidP="00216DEA">
      <w:pPr>
        <w:ind w:firstLine="708"/>
        <w:jc w:val="both"/>
      </w:pPr>
      <w:r w:rsidRPr="009E0D2B">
        <w:t>Proračunski korisnik financijski plan za 202</w:t>
      </w:r>
      <w:r>
        <w:t>6</w:t>
      </w:r>
      <w:r w:rsidRPr="009E0D2B">
        <w:t>. g</w:t>
      </w:r>
      <w:r w:rsidR="00216DEA">
        <w:t>odinu</w:t>
      </w:r>
      <w:r w:rsidRPr="009E0D2B">
        <w:t xml:space="preserve"> planira i dostavlja </w:t>
      </w:r>
      <w:r>
        <w:t xml:space="preserve">Jedinstvenom upravnom odjelu, Odsjeku za </w:t>
      </w:r>
      <w:r w:rsidR="00216DEA">
        <w:t xml:space="preserve">financije i proračun </w:t>
      </w:r>
      <w:r w:rsidRPr="009E0D2B">
        <w:t xml:space="preserve">Općine </w:t>
      </w:r>
      <w:r w:rsidR="00216DEA">
        <w:t>Gornja Stubica</w:t>
      </w:r>
      <w:r w:rsidRPr="009E0D2B">
        <w:t xml:space="preserve"> na razini odjeljka (četvrta razina računskog plana), a usvajaju ga na razini skupine (druga razina računskog plana), a projekcije za 202</w:t>
      </w:r>
      <w:r>
        <w:t>7</w:t>
      </w:r>
      <w:r w:rsidRPr="009E0D2B">
        <w:t>. i 202</w:t>
      </w:r>
      <w:r>
        <w:t>8</w:t>
      </w:r>
      <w:r w:rsidRPr="009E0D2B">
        <w:t>. godinu na razini skupine (druga razina računskog plana). Financijski plan korisnika treba biti uravnotežen. Odgovorna osoba proračunskog korisnika odgovorna je za zakonito i pravilno planiranje i izvršavanje</w:t>
      </w:r>
      <w:r>
        <w:t>.</w:t>
      </w:r>
    </w:p>
    <w:p w14:paraId="29E6EA72" w14:textId="77777777" w:rsidR="00D632E8" w:rsidRDefault="00D632E8" w:rsidP="002B3CD3">
      <w:pPr>
        <w:pStyle w:val="Naslov1"/>
      </w:pPr>
    </w:p>
    <w:p w14:paraId="10371382" w14:textId="02A982F7" w:rsidR="002E0D0C" w:rsidRDefault="00216DEA" w:rsidP="002B3CD3">
      <w:pPr>
        <w:pStyle w:val="Naslov1"/>
      </w:pPr>
      <w:bookmarkStart w:id="8" w:name="_Toc211859579"/>
      <w:bookmarkStart w:id="9" w:name="_Toc211859968"/>
      <w:r>
        <w:t>4</w:t>
      </w:r>
      <w:r w:rsidR="002E0D0C">
        <w:t>. METODOLOGIJA IZRADE PRORAČUNA I FINANCIJSKIH PLANOVA</w:t>
      </w:r>
      <w:bookmarkEnd w:id="8"/>
      <w:bookmarkEnd w:id="9"/>
      <w:r w:rsidR="002E0D0C">
        <w:t xml:space="preserve"> </w:t>
      </w:r>
    </w:p>
    <w:p w14:paraId="0D22946C" w14:textId="77777777" w:rsidR="00216DEA" w:rsidRDefault="00216DEA" w:rsidP="00216DEA">
      <w:pPr>
        <w:autoSpaceDE w:val="0"/>
        <w:autoSpaceDN w:val="0"/>
        <w:adjustRightInd w:val="0"/>
        <w:ind w:firstLine="360"/>
        <w:jc w:val="both"/>
      </w:pPr>
    </w:p>
    <w:p w14:paraId="4B93EE77" w14:textId="18ABAD43" w:rsidR="00216DEA" w:rsidRDefault="00216DEA" w:rsidP="00216DEA">
      <w:pPr>
        <w:autoSpaceDE w:val="0"/>
        <w:autoSpaceDN w:val="0"/>
        <w:adjustRightInd w:val="0"/>
        <w:ind w:firstLine="360"/>
        <w:jc w:val="both"/>
      </w:pPr>
      <w:r w:rsidRPr="00E407A7">
        <w:t>Sukladno člancima 38., 39. i 42. Zakona o proračunu, proračun jedinice lokalne i područne (regionalne) samouprave, financijski plan proračunskog korisnika usvaja na razini skupine ekonomske klasifikacije. Slijedom navedenog, jedinica lokalne i područne (regionalne) samouprave i njen proračunski korisnik prihode i primitke, rashode i izdatke za 202</w:t>
      </w:r>
      <w:r>
        <w:t>6</w:t>
      </w:r>
      <w:r w:rsidRPr="00E407A7">
        <w:t>. godinu iskazuju na razini skupine (druga razina računskog plana) isto kao za 202</w:t>
      </w:r>
      <w:r>
        <w:t>7</w:t>
      </w:r>
      <w:r w:rsidRPr="00E407A7">
        <w:t>. i 202</w:t>
      </w:r>
      <w:r>
        <w:t>8</w:t>
      </w:r>
      <w:r w:rsidRPr="00E407A7">
        <w:t>. godinu.</w:t>
      </w:r>
    </w:p>
    <w:p w14:paraId="01770779" w14:textId="77777777" w:rsidR="00216DEA" w:rsidRPr="00E407A7" w:rsidRDefault="00216DEA" w:rsidP="00216DEA">
      <w:pPr>
        <w:autoSpaceDE w:val="0"/>
        <w:autoSpaceDN w:val="0"/>
        <w:adjustRightInd w:val="0"/>
        <w:ind w:firstLine="360"/>
        <w:jc w:val="both"/>
      </w:pPr>
    </w:p>
    <w:p w14:paraId="05302C91" w14:textId="3BF02BF7" w:rsidR="00216DEA" w:rsidRDefault="00216DEA" w:rsidP="00216DEA">
      <w:pPr>
        <w:autoSpaceDE w:val="0"/>
        <w:autoSpaceDN w:val="0"/>
        <w:adjustRightInd w:val="0"/>
        <w:ind w:firstLine="708"/>
        <w:jc w:val="both"/>
      </w:pPr>
      <w:r w:rsidRPr="00E407A7">
        <w:t>Člankom 29. Zakona o proračunu jedinice lokalne i područne (regionalne) samouprave u Općem dijelu proračuna u Računu prihoda i rashoda, rashode iska</w:t>
      </w:r>
      <w:r w:rsidR="00DA279D">
        <w:t>zuju</w:t>
      </w:r>
      <w:r w:rsidRPr="00E407A7">
        <w:t xml:space="preserve"> i prema funkcijskoj klasifikaciji. Ista obveza vrijedi i za proračunskog korisnika jedinica lokalne i područne (regionalne) samouprave koji sukladno članku 34. Zakona o proračunu u Općem dijelu </w:t>
      </w:r>
      <w:r w:rsidRPr="00E407A7">
        <w:lastRenderedPageBreak/>
        <w:t>financijskog plana u Računu prihoda i rashoda, rashode treba  iskazati i prema funkcijskoj klasifikaciji.</w:t>
      </w:r>
    </w:p>
    <w:p w14:paraId="4AC4B184" w14:textId="77777777" w:rsidR="00216DEA" w:rsidRPr="00E407A7" w:rsidRDefault="00216DEA" w:rsidP="00216DEA">
      <w:pPr>
        <w:autoSpaceDE w:val="0"/>
        <w:autoSpaceDN w:val="0"/>
        <w:adjustRightInd w:val="0"/>
        <w:ind w:firstLine="708"/>
        <w:jc w:val="both"/>
      </w:pPr>
    </w:p>
    <w:p w14:paraId="242A6848" w14:textId="623075E6" w:rsidR="00216DEA" w:rsidRDefault="00216DEA" w:rsidP="00216DEA">
      <w:pPr>
        <w:ind w:firstLine="708"/>
        <w:jc w:val="both"/>
      </w:pPr>
      <w:r w:rsidRPr="00E407A7">
        <w:t xml:space="preserve">Proračunski korisnik Općine </w:t>
      </w:r>
      <w:r>
        <w:t>Gornja Stubica</w:t>
      </w:r>
      <w:r w:rsidRPr="00E407A7">
        <w:t xml:space="preserve"> obvezan je izrađivati financijske planove u skladu s odredbama Zakona o proračunu (Narodne novine br. 144/21), Pravilnika o planiranju u sustavu proračuna (Narodne novine 1/24), Pravilnika o proračunskim klasifikacijama (Narodne novine, br. 4/2024.), Pravilnika o proračunskom računovodstvu i Računskom planu (Narodne novine, br. 158/2023). ), Pravilnika o korištenju sredstava Europske unije (Narodne novine 44/24)., te se pridržavati ovih Uputa.</w:t>
      </w:r>
    </w:p>
    <w:p w14:paraId="1B175D73" w14:textId="77777777" w:rsidR="00216DEA" w:rsidRPr="007A4CD5" w:rsidRDefault="00216DEA" w:rsidP="00216DEA">
      <w:pPr>
        <w:ind w:firstLine="708"/>
        <w:jc w:val="both"/>
      </w:pPr>
    </w:p>
    <w:p w14:paraId="09EF4F14" w14:textId="77777777" w:rsidR="00216DEA" w:rsidRPr="00E407A7" w:rsidRDefault="00216DEA" w:rsidP="00216DEA">
      <w:pPr>
        <w:autoSpaceDE w:val="0"/>
        <w:autoSpaceDN w:val="0"/>
        <w:adjustRightInd w:val="0"/>
        <w:ind w:firstLine="708"/>
        <w:jc w:val="both"/>
      </w:pPr>
      <w:r w:rsidRPr="00E407A7">
        <w:t>Člankom 37. Zakona o proračunu propisano je ako jedinice lokalne i područne (regionalne) samouprave i njihovi proračunski  korisnici ne mogu preneseni manjak podmiriti do kraja proračunske godine, obvezni su izraditi višegodišnji plan uravnoteženja za razdoblje za koje se proračun, odnosno financijski plan donosi.</w:t>
      </w:r>
    </w:p>
    <w:p w14:paraId="3CB9593B" w14:textId="77777777" w:rsidR="00216DEA" w:rsidRPr="00E407A7" w:rsidRDefault="00216DEA" w:rsidP="00216DEA">
      <w:pPr>
        <w:autoSpaceDE w:val="0"/>
        <w:autoSpaceDN w:val="0"/>
        <w:adjustRightInd w:val="0"/>
        <w:ind w:firstLine="708"/>
        <w:jc w:val="both"/>
      </w:pPr>
    </w:p>
    <w:p w14:paraId="1255A151" w14:textId="5421D128" w:rsidR="00216DEA" w:rsidRDefault="00216DEA" w:rsidP="003F56B2">
      <w:pPr>
        <w:ind w:firstLine="708"/>
        <w:jc w:val="both"/>
      </w:pPr>
      <w:r w:rsidRPr="00765DB8">
        <w:t>Proračunski korisnik</w:t>
      </w:r>
      <w:r>
        <w:t xml:space="preserve"> u financijskom planu treba iskazati sve svoje prihode i rashode kao i podmirivanje rashoda korisnika izravno s računa proračuna.</w:t>
      </w:r>
      <w:r w:rsidR="003F56B2">
        <w:t xml:space="preserve"> </w:t>
      </w:r>
      <w:r>
        <w:t>Prijedlog financijskog plana proračunskog korisnika za razdoblje 2026.-2028. u skladu s odredbama zakona o proračunu sadrži:</w:t>
      </w:r>
    </w:p>
    <w:p w14:paraId="7A1A5672" w14:textId="77777777" w:rsidR="00216DEA" w:rsidRDefault="00216DEA" w:rsidP="00216DEA">
      <w:pPr>
        <w:ind w:left="708"/>
        <w:jc w:val="both"/>
      </w:pPr>
      <w:r>
        <w:t>-procjene prihoda i primitaka iskazane po vrstama za razdoblje 2026.-2028.,</w:t>
      </w:r>
    </w:p>
    <w:p w14:paraId="5F735231" w14:textId="77777777" w:rsidR="00216DEA" w:rsidRDefault="00216DEA" w:rsidP="00216DEA">
      <w:pPr>
        <w:ind w:left="708"/>
        <w:jc w:val="both"/>
      </w:pPr>
      <w:r>
        <w:t xml:space="preserve">-plan rashoda i izdataka za razdoblje 2026.-2028., razvrstane prema proračunskim klasifikacijama. </w:t>
      </w:r>
    </w:p>
    <w:p w14:paraId="66250887" w14:textId="77777777" w:rsidR="00216DEA" w:rsidRDefault="00216DEA" w:rsidP="00216DEA">
      <w:pPr>
        <w:ind w:left="708"/>
        <w:jc w:val="both"/>
      </w:pPr>
      <w:r>
        <w:t>-obrazloženje prijedloga financijskog plana i to obrazloženje općeg dijela financijskog plana koji sadrži obrazloženje prihoda i rashoda, primitaka i izdataka i obrazloženje prenesenog manjka odnosno viška financijskog plana, u slučaju da isti postoji i obrazloženje posebnog dijela financijskog plana, a sastoji se od obrazloženja programa koje se daje kroz obrazloženje aktivnosti i projekata zajedno s ciljevima i pokazateljima uspješnosti.</w:t>
      </w:r>
    </w:p>
    <w:p w14:paraId="13F6F94C" w14:textId="77777777" w:rsidR="004E36F5" w:rsidRDefault="004E36F5" w:rsidP="00D227EB">
      <w:pPr>
        <w:pStyle w:val="Bezproreda"/>
        <w:jc w:val="both"/>
        <w:rPr>
          <w:rFonts w:cs="Times New Roman"/>
          <w:szCs w:val="24"/>
        </w:rPr>
      </w:pPr>
    </w:p>
    <w:p w14:paraId="28E70368" w14:textId="1F3C9846" w:rsidR="00BF5D63" w:rsidRPr="004B5E07" w:rsidRDefault="004B5E07" w:rsidP="004B5E07">
      <w:pPr>
        <w:pStyle w:val="Naslov2"/>
        <w:rPr>
          <w:b/>
          <w:bCs/>
        </w:rPr>
      </w:pPr>
      <w:bookmarkStart w:id="10" w:name="_Toc211859969"/>
      <w:r w:rsidRPr="004B5E07">
        <w:rPr>
          <w:b/>
          <w:bCs/>
        </w:rPr>
        <w:t xml:space="preserve">4.1. </w:t>
      </w:r>
      <w:r w:rsidR="003F56B2" w:rsidRPr="004B5E07">
        <w:rPr>
          <w:b/>
          <w:bCs/>
        </w:rPr>
        <w:t>Sadržaj proračuna Općine Gornja Stubica za razdoblje 2026.-2028.</w:t>
      </w:r>
      <w:bookmarkEnd w:id="10"/>
    </w:p>
    <w:p w14:paraId="5DA33393" w14:textId="77777777" w:rsidR="003F56B2" w:rsidRDefault="003F56B2" w:rsidP="00D227EB">
      <w:pPr>
        <w:pStyle w:val="Bezproreda"/>
        <w:jc w:val="both"/>
        <w:rPr>
          <w:b/>
        </w:rPr>
      </w:pPr>
    </w:p>
    <w:p w14:paraId="435C4518" w14:textId="47611DA2" w:rsidR="003F56B2" w:rsidRDefault="003F56B2" w:rsidP="00756566">
      <w:pPr>
        <w:ind w:firstLine="708"/>
        <w:jc w:val="both"/>
      </w:pPr>
      <w:r w:rsidRPr="00FA657C">
        <w:t xml:space="preserve">Proračun </w:t>
      </w:r>
      <w:r>
        <w:t>Općine</w:t>
      </w:r>
      <w:r w:rsidRPr="00FA657C">
        <w:t xml:space="preserve"> sastoji se od plana za proračunsku godinu i projekcija za sljedeće dvije godine. Detaljni prikaz sadržaja proračuna dan je u Tablici </w:t>
      </w:r>
      <w:r w:rsidR="00990D28">
        <w:t>2</w:t>
      </w:r>
      <w:r w:rsidRPr="00FA657C">
        <w:t>.</w:t>
      </w:r>
    </w:p>
    <w:p w14:paraId="645C1BFF" w14:textId="77777777" w:rsidR="00101384" w:rsidRDefault="00101384" w:rsidP="00D227EB">
      <w:pPr>
        <w:pStyle w:val="Bezproreda"/>
        <w:jc w:val="both"/>
      </w:pPr>
    </w:p>
    <w:p w14:paraId="7AEB99EC" w14:textId="115058AD" w:rsidR="003F56B2" w:rsidRPr="0074341E" w:rsidRDefault="003F56B2" w:rsidP="003F56B2">
      <w:pPr>
        <w:jc w:val="both"/>
      </w:pPr>
      <w:r w:rsidRPr="0068342F">
        <w:rPr>
          <w:b/>
          <w:bCs/>
        </w:rPr>
        <w:t xml:space="preserve">Tablica </w:t>
      </w:r>
      <w:r w:rsidR="00990D28">
        <w:rPr>
          <w:b/>
          <w:bCs/>
        </w:rPr>
        <w:t>2</w:t>
      </w:r>
      <w:r w:rsidRPr="0068342F">
        <w:rPr>
          <w:b/>
          <w:bCs/>
        </w:rPr>
        <w:t xml:space="preserve">. </w:t>
      </w:r>
      <w:r w:rsidR="00BE0D9F">
        <w:rPr>
          <w:b/>
          <w:bCs/>
        </w:rPr>
        <w:t>Proračun Općine Gornja Stubica za 2026.-2028. godinu</w:t>
      </w:r>
    </w:p>
    <w:p w14:paraId="53CB51A8" w14:textId="77777777" w:rsidR="00B13A3D" w:rsidRPr="000B4874" w:rsidRDefault="00B13A3D" w:rsidP="00D227EB">
      <w:pPr>
        <w:pStyle w:val="Bezproreda"/>
        <w:jc w:val="both"/>
        <w:rPr>
          <w:b/>
        </w:rPr>
      </w:pPr>
    </w:p>
    <w:tbl>
      <w:tblPr>
        <w:tblStyle w:val="Reetkatablice"/>
        <w:tblW w:w="0" w:type="auto"/>
        <w:tblLook w:val="04A0" w:firstRow="1" w:lastRow="0" w:firstColumn="1" w:lastColumn="0" w:noHBand="0" w:noVBand="1"/>
      </w:tblPr>
      <w:tblGrid>
        <w:gridCol w:w="1924"/>
        <w:gridCol w:w="2596"/>
        <w:gridCol w:w="4542"/>
      </w:tblGrid>
      <w:tr w:rsidR="00101384" w:rsidRPr="000B4874" w14:paraId="240E5B4E" w14:textId="77777777" w:rsidTr="00846C2D">
        <w:tc>
          <w:tcPr>
            <w:tcW w:w="192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8495553" w14:textId="77777777" w:rsidR="00101384" w:rsidRPr="00B13A3D" w:rsidRDefault="00101384" w:rsidP="00D227EB">
            <w:pPr>
              <w:pStyle w:val="Bezproreda"/>
              <w:jc w:val="both"/>
              <w:rPr>
                <w:b/>
                <w:bCs/>
                <w:sz w:val="22"/>
              </w:rPr>
            </w:pPr>
            <w:r w:rsidRPr="00B13A3D">
              <w:rPr>
                <w:b/>
                <w:bCs/>
                <w:sz w:val="22"/>
              </w:rPr>
              <w:t>SADRŽAJ</w:t>
            </w:r>
          </w:p>
        </w:tc>
        <w:tc>
          <w:tcPr>
            <w:tcW w:w="2596"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05B2632" w14:textId="77777777" w:rsidR="00101384" w:rsidRPr="00B13A3D" w:rsidRDefault="00101384" w:rsidP="00D227EB">
            <w:pPr>
              <w:pStyle w:val="Bezproreda"/>
              <w:jc w:val="both"/>
              <w:rPr>
                <w:b/>
                <w:bCs/>
                <w:sz w:val="22"/>
              </w:rPr>
            </w:pPr>
            <w:r w:rsidRPr="00B13A3D">
              <w:rPr>
                <w:b/>
                <w:bCs/>
                <w:sz w:val="22"/>
              </w:rPr>
              <w:t>SASTAVNI DIO</w:t>
            </w:r>
          </w:p>
        </w:tc>
        <w:tc>
          <w:tcPr>
            <w:tcW w:w="454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3D52C3A" w14:textId="77777777" w:rsidR="00101384" w:rsidRPr="00B13A3D" w:rsidRDefault="00101384" w:rsidP="00D227EB">
            <w:pPr>
              <w:pStyle w:val="Bezproreda"/>
              <w:jc w:val="both"/>
              <w:rPr>
                <w:b/>
                <w:bCs/>
                <w:sz w:val="22"/>
              </w:rPr>
            </w:pPr>
            <w:r w:rsidRPr="00B13A3D">
              <w:rPr>
                <w:b/>
                <w:bCs/>
                <w:sz w:val="22"/>
              </w:rPr>
              <w:t>OPIS SASTAVNOG DIJELA</w:t>
            </w:r>
          </w:p>
        </w:tc>
      </w:tr>
      <w:tr w:rsidR="00101384" w:rsidRPr="000B4874" w14:paraId="7D97F2AD" w14:textId="77777777" w:rsidTr="00846C2D">
        <w:trPr>
          <w:trHeight w:val="516"/>
        </w:trPr>
        <w:tc>
          <w:tcPr>
            <w:tcW w:w="1924"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5D17595" w14:textId="77777777" w:rsidR="00101384" w:rsidRPr="00B13A3D" w:rsidRDefault="00101384" w:rsidP="00D227EB">
            <w:pPr>
              <w:pStyle w:val="Bezproreda"/>
              <w:jc w:val="both"/>
              <w:rPr>
                <w:b/>
                <w:bCs/>
                <w:sz w:val="22"/>
              </w:rPr>
            </w:pPr>
          </w:p>
          <w:p w14:paraId="5F98C273" w14:textId="77777777" w:rsidR="00101384" w:rsidRPr="00B13A3D" w:rsidRDefault="00101384" w:rsidP="00D227EB">
            <w:pPr>
              <w:pStyle w:val="Bezproreda"/>
              <w:jc w:val="both"/>
              <w:rPr>
                <w:b/>
                <w:bCs/>
                <w:sz w:val="22"/>
              </w:rPr>
            </w:pPr>
          </w:p>
          <w:p w14:paraId="02689025" w14:textId="77777777" w:rsidR="00101384" w:rsidRPr="00B13A3D" w:rsidRDefault="00101384" w:rsidP="00D227EB">
            <w:pPr>
              <w:pStyle w:val="Bezproreda"/>
              <w:jc w:val="both"/>
              <w:rPr>
                <w:b/>
                <w:bCs/>
                <w:sz w:val="22"/>
              </w:rPr>
            </w:pPr>
          </w:p>
          <w:p w14:paraId="006E912B" w14:textId="77777777" w:rsidR="00101384" w:rsidRPr="00B13A3D" w:rsidRDefault="00101384" w:rsidP="00D227EB">
            <w:pPr>
              <w:pStyle w:val="Bezproreda"/>
              <w:jc w:val="both"/>
              <w:rPr>
                <w:b/>
                <w:bCs/>
                <w:sz w:val="22"/>
              </w:rPr>
            </w:pPr>
          </w:p>
          <w:p w14:paraId="2CC3DB2B" w14:textId="77777777" w:rsidR="00101384" w:rsidRPr="00B13A3D" w:rsidRDefault="00101384" w:rsidP="00D227EB">
            <w:pPr>
              <w:pStyle w:val="Bezproreda"/>
              <w:jc w:val="both"/>
              <w:rPr>
                <w:b/>
                <w:bCs/>
                <w:sz w:val="22"/>
              </w:rPr>
            </w:pPr>
          </w:p>
          <w:p w14:paraId="70BBC21A" w14:textId="77777777" w:rsidR="00101384" w:rsidRPr="00B13A3D" w:rsidRDefault="00101384" w:rsidP="00D227EB">
            <w:pPr>
              <w:pStyle w:val="Bezproreda"/>
              <w:jc w:val="both"/>
              <w:rPr>
                <w:b/>
                <w:bCs/>
                <w:sz w:val="22"/>
              </w:rPr>
            </w:pPr>
          </w:p>
          <w:p w14:paraId="6E12430F" w14:textId="77777777" w:rsidR="00101384" w:rsidRPr="00B13A3D" w:rsidRDefault="00101384" w:rsidP="00D227EB">
            <w:pPr>
              <w:pStyle w:val="Bezproreda"/>
              <w:jc w:val="both"/>
              <w:rPr>
                <w:b/>
                <w:bCs/>
                <w:sz w:val="22"/>
              </w:rPr>
            </w:pPr>
          </w:p>
          <w:p w14:paraId="4DA3965A" w14:textId="77777777" w:rsidR="00101384" w:rsidRPr="00B13A3D" w:rsidRDefault="00101384" w:rsidP="00D227EB">
            <w:pPr>
              <w:pStyle w:val="Bezproreda"/>
              <w:rPr>
                <w:b/>
                <w:bCs/>
                <w:sz w:val="22"/>
              </w:rPr>
            </w:pPr>
            <w:r w:rsidRPr="00B13A3D">
              <w:rPr>
                <w:b/>
                <w:bCs/>
                <w:sz w:val="22"/>
              </w:rPr>
              <w:t>Opći dio financijskog plana</w:t>
            </w:r>
          </w:p>
          <w:p w14:paraId="17CBD6EF" w14:textId="77777777" w:rsidR="00101384" w:rsidRPr="00B13A3D" w:rsidRDefault="00101384" w:rsidP="00D227EB">
            <w:pPr>
              <w:pStyle w:val="Bezproreda"/>
              <w:jc w:val="both"/>
              <w:rPr>
                <w:b/>
                <w:bCs/>
                <w:sz w:val="22"/>
              </w:rPr>
            </w:pPr>
          </w:p>
          <w:p w14:paraId="0201594F" w14:textId="77777777" w:rsidR="00101384" w:rsidRPr="00B13A3D" w:rsidRDefault="00101384" w:rsidP="00D227EB">
            <w:pPr>
              <w:pStyle w:val="Bezproreda"/>
              <w:jc w:val="both"/>
              <w:rPr>
                <w:b/>
                <w:bCs/>
                <w:sz w:val="22"/>
              </w:rPr>
            </w:pPr>
          </w:p>
          <w:p w14:paraId="08CBCDF2" w14:textId="77777777" w:rsidR="00101384" w:rsidRPr="00B13A3D" w:rsidRDefault="00101384" w:rsidP="00D227EB">
            <w:pPr>
              <w:pStyle w:val="Bezproreda"/>
              <w:jc w:val="both"/>
              <w:rPr>
                <w:b/>
                <w:bCs/>
                <w:sz w:val="22"/>
              </w:rPr>
            </w:pPr>
          </w:p>
          <w:p w14:paraId="0DA870C5" w14:textId="77777777" w:rsidR="00101384" w:rsidRPr="00B13A3D" w:rsidRDefault="00101384" w:rsidP="00D227EB">
            <w:pPr>
              <w:pStyle w:val="Bezproreda"/>
              <w:jc w:val="both"/>
              <w:rPr>
                <w:b/>
                <w:bCs/>
                <w:sz w:val="22"/>
              </w:rPr>
            </w:pPr>
          </w:p>
        </w:tc>
        <w:tc>
          <w:tcPr>
            <w:tcW w:w="2596" w:type="dxa"/>
            <w:tcBorders>
              <w:top w:val="single" w:sz="4" w:space="0" w:color="auto"/>
              <w:left w:val="single" w:sz="4" w:space="0" w:color="auto"/>
              <w:bottom w:val="single" w:sz="4" w:space="0" w:color="auto"/>
              <w:right w:val="single" w:sz="4" w:space="0" w:color="auto"/>
            </w:tcBorders>
            <w:hideMark/>
          </w:tcPr>
          <w:p w14:paraId="11FAF45A" w14:textId="77777777" w:rsidR="00101384" w:rsidRPr="000B4874" w:rsidRDefault="00101384" w:rsidP="006143F1">
            <w:pPr>
              <w:pStyle w:val="Bezproreda"/>
              <w:rPr>
                <w:sz w:val="22"/>
              </w:rPr>
            </w:pPr>
            <w:r w:rsidRPr="000B4874">
              <w:rPr>
                <w:sz w:val="22"/>
              </w:rPr>
              <w:t>Sažetak Računa prihoda i rashoda Sažetak Računa financiranja</w:t>
            </w:r>
          </w:p>
        </w:tc>
        <w:tc>
          <w:tcPr>
            <w:tcW w:w="4542" w:type="dxa"/>
            <w:tcBorders>
              <w:top w:val="single" w:sz="4" w:space="0" w:color="auto"/>
              <w:left w:val="single" w:sz="4" w:space="0" w:color="auto"/>
              <w:bottom w:val="single" w:sz="4" w:space="0" w:color="auto"/>
              <w:right w:val="single" w:sz="4" w:space="0" w:color="auto"/>
            </w:tcBorders>
            <w:hideMark/>
          </w:tcPr>
          <w:p w14:paraId="637CCD2A" w14:textId="77777777" w:rsidR="00101384" w:rsidRPr="000B4874" w:rsidRDefault="00101384" w:rsidP="00D227EB">
            <w:pPr>
              <w:pStyle w:val="Bezproreda"/>
              <w:jc w:val="both"/>
              <w:rPr>
                <w:sz w:val="22"/>
              </w:rPr>
            </w:pPr>
            <w:r w:rsidRPr="000B4874">
              <w:rPr>
                <w:sz w:val="22"/>
              </w:rPr>
              <w:t xml:space="preserve">- ukupni prihodi poslovanja i prihodi od prodaje nefinancijske imovine, ukupni rashodi poslovanja i rashodi za nabavu nefinancijske imovine </w:t>
            </w:r>
          </w:p>
          <w:p w14:paraId="45D7A9C0" w14:textId="77777777" w:rsidR="00101384" w:rsidRPr="000B4874" w:rsidRDefault="00101384" w:rsidP="00D227EB">
            <w:pPr>
              <w:pStyle w:val="Bezproreda"/>
              <w:jc w:val="both"/>
              <w:rPr>
                <w:sz w:val="22"/>
              </w:rPr>
            </w:pPr>
            <w:r w:rsidRPr="000B4874">
              <w:rPr>
                <w:sz w:val="22"/>
              </w:rPr>
              <w:t>- ukupni primici od financijske imovine i zaduživanja i izdaci za financijsku imovinu i otplate zajmova</w:t>
            </w:r>
          </w:p>
        </w:tc>
      </w:tr>
      <w:tr w:rsidR="00101384" w:rsidRPr="000B4874" w14:paraId="481A9D72" w14:textId="77777777" w:rsidTr="00846C2D">
        <w:trPr>
          <w:trHeight w:val="468"/>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45E570" w14:textId="77777777" w:rsidR="00101384" w:rsidRPr="00B13A3D" w:rsidRDefault="00101384" w:rsidP="00D227EB">
            <w:pPr>
              <w:pStyle w:val="Bezproreda"/>
              <w:jc w:val="both"/>
              <w:rPr>
                <w:b/>
                <w:bCs/>
                <w:sz w:val="22"/>
              </w:rPr>
            </w:pPr>
          </w:p>
        </w:tc>
        <w:tc>
          <w:tcPr>
            <w:tcW w:w="2596" w:type="dxa"/>
            <w:tcBorders>
              <w:top w:val="single" w:sz="4" w:space="0" w:color="auto"/>
              <w:left w:val="single" w:sz="4" w:space="0" w:color="auto"/>
              <w:bottom w:val="single" w:sz="4" w:space="0" w:color="auto"/>
              <w:right w:val="single" w:sz="4" w:space="0" w:color="auto"/>
            </w:tcBorders>
            <w:hideMark/>
          </w:tcPr>
          <w:p w14:paraId="197FC6A4" w14:textId="77777777" w:rsidR="00101384" w:rsidRPr="000B4874" w:rsidRDefault="00101384" w:rsidP="00D227EB">
            <w:pPr>
              <w:pStyle w:val="Bezproreda"/>
              <w:jc w:val="both"/>
              <w:rPr>
                <w:sz w:val="22"/>
              </w:rPr>
            </w:pPr>
            <w:r w:rsidRPr="000B4874">
              <w:rPr>
                <w:sz w:val="22"/>
              </w:rPr>
              <w:t>Račun prihoda i rashoda</w:t>
            </w:r>
          </w:p>
        </w:tc>
        <w:tc>
          <w:tcPr>
            <w:tcW w:w="4542" w:type="dxa"/>
            <w:tcBorders>
              <w:top w:val="single" w:sz="4" w:space="0" w:color="auto"/>
              <w:left w:val="single" w:sz="4" w:space="0" w:color="auto"/>
              <w:bottom w:val="single" w:sz="4" w:space="0" w:color="auto"/>
              <w:right w:val="single" w:sz="4" w:space="0" w:color="auto"/>
            </w:tcBorders>
            <w:hideMark/>
          </w:tcPr>
          <w:p w14:paraId="55F449F5" w14:textId="77777777" w:rsidR="00101384" w:rsidRPr="000B4874" w:rsidRDefault="00101384" w:rsidP="00D227EB">
            <w:pPr>
              <w:pStyle w:val="Bezproreda"/>
              <w:jc w:val="both"/>
              <w:rPr>
                <w:sz w:val="22"/>
              </w:rPr>
            </w:pPr>
            <w:r w:rsidRPr="000B4874">
              <w:rPr>
                <w:sz w:val="22"/>
              </w:rPr>
              <w:t xml:space="preserve">- ukupni prihodi i rashodi iskazani prema ekonomskoj klasifikaciji na razini skupine </w:t>
            </w:r>
          </w:p>
          <w:p w14:paraId="17C627AE" w14:textId="77777777" w:rsidR="00101384" w:rsidRPr="000B4874" w:rsidRDefault="00101384" w:rsidP="00D227EB">
            <w:pPr>
              <w:pStyle w:val="Bezproreda"/>
              <w:jc w:val="both"/>
              <w:rPr>
                <w:sz w:val="22"/>
              </w:rPr>
            </w:pPr>
            <w:r w:rsidRPr="000B4874">
              <w:rPr>
                <w:sz w:val="22"/>
              </w:rPr>
              <w:t xml:space="preserve">- ukupni prihodi i rashodi iskazani prema izvorima financiranja </w:t>
            </w:r>
          </w:p>
          <w:p w14:paraId="27ECF25D" w14:textId="77777777" w:rsidR="00101384" w:rsidRPr="000B4874" w:rsidRDefault="00101384" w:rsidP="00D227EB">
            <w:pPr>
              <w:pStyle w:val="Bezproreda"/>
              <w:jc w:val="both"/>
              <w:rPr>
                <w:sz w:val="22"/>
              </w:rPr>
            </w:pPr>
            <w:r w:rsidRPr="000B4874">
              <w:rPr>
                <w:sz w:val="22"/>
              </w:rPr>
              <w:t>- ukupni rashodi iskazani prema funkcijskoj klasifikaciji</w:t>
            </w:r>
          </w:p>
        </w:tc>
      </w:tr>
      <w:tr w:rsidR="00101384" w:rsidRPr="000B4874" w14:paraId="3A8063D3" w14:textId="77777777" w:rsidTr="00846C2D">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016F914" w14:textId="77777777" w:rsidR="00101384" w:rsidRPr="00B13A3D" w:rsidRDefault="00101384" w:rsidP="00D227EB">
            <w:pPr>
              <w:pStyle w:val="Bezproreda"/>
              <w:jc w:val="both"/>
              <w:rPr>
                <w:b/>
                <w:bCs/>
                <w:sz w:val="22"/>
              </w:rPr>
            </w:pPr>
          </w:p>
        </w:tc>
        <w:tc>
          <w:tcPr>
            <w:tcW w:w="2596" w:type="dxa"/>
            <w:tcBorders>
              <w:top w:val="single" w:sz="4" w:space="0" w:color="auto"/>
              <w:left w:val="single" w:sz="4" w:space="0" w:color="auto"/>
              <w:bottom w:val="single" w:sz="4" w:space="0" w:color="auto"/>
              <w:right w:val="single" w:sz="4" w:space="0" w:color="auto"/>
            </w:tcBorders>
            <w:hideMark/>
          </w:tcPr>
          <w:p w14:paraId="4C5E45DD" w14:textId="77777777" w:rsidR="00101384" w:rsidRPr="000B4874" w:rsidRDefault="00101384" w:rsidP="00D227EB">
            <w:pPr>
              <w:pStyle w:val="Bezproreda"/>
              <w:jc w:val="both"/>
              <w:rPr>
                <w:sz w:val="22"/>
              </w:rPr>
            </w:pPr>
            <w:r w:rsidRPr="000B4874">
              <w:rPr>
                <w:sz w:val="22"/>
              </w:rPr>
              <w:t>Račun financiranja</w:t>
            </w:r>
          </w:p>
        </w:tc>
        <w:tc>
          <w:tcPr>
            <w:tcW w:w="4542" w:type="dxa"/>
            <w:tcBorders>
              <w:top w:val="single" w:sz="4" w:space="0" w:color="auto"/>
              <w:left w:val="single" w:sz="4" w:space="0" w:color="auto"/>
              <w:bottom w:val="single" w:sz="4" w:space="0" w:color="auto"/>
              <w:right w:val="single" w:sz="4" w:space="0" w:color="auto"/>
            </w:tcBorders>
            <w:hideMark/>
          </w:tcPr>
          <w:p w14:paraId="57AB01B5" w14:textId="77777777" w:rsidR="00101384" w:rsidRPr="000B4874" w:rsidRDefault="00101384" w:rsidP="00D227EB">
            <w:pPr>
              <w:pStyle w:val="Bezproreda"/>
              <w:jc w:val="both"/>
              <w:rPr>
                <w:sz w:val="22"/>
              </w:rPr>
            </w:pPr>
            <w:r w:rsidRPr="000B4874">
              <w:rPr>
                <w:sz w:val="22"/>
              </w:rPr>
              <w:t xml:space="preserve">- ukupni primici od financijske imovine i zaduživanja i izdaci za financijsku imovinu i </w:t>
            </w:r>
            <w:r w:rsidRPr="000B4874">
              <w:rPr>
                <w:sz w:val="22"/>
              </w:rPr>
              <w:lastRenderedPageBreak/>
              <w:t xml:space="preserve">otplate instrumenata zaduživanja prema ekonomskoj klasifikaciji na razini skupine </w:t>
            </w:r>
          </w:p>
          <w:p w14:paraId="566D4F19" w14:textId="77777777" w:rsidR="00101384" w:rsidRPr="000B4874" w:rsidRDefault="00101384" w:rsidP="00D227EB">
            <w:pPr>
              <w:pStyle w:val="Bezproreda"/>
              <w:jc w:val="both"/>
              <w:rPr>
                <w:sz w:val="22"/>
              </w:rPr>
            </w:pPr>
            <w:r w:rsidRPr="000B4874">
              <w:rPr>
                <w:sz w:val="22"/>
              </w:rPr>
              <w:t>- ukupni primici od financijske imovine i zaduživanja i izdaci za financijsku imovinu i otplate instrumenata zaduživanja prema izvorima financiranja</w:t>
            </w:r>
          </w:p>
        </w:tc>
      </w:tr>
      <w:tr w:rsidR="00101384" w:rsidRPr="000B4874" w14:paraId="578A9D14" w14:textId="77777777" w:rsidTr="00846C2D">
        <w:trPr>
          <w:trHeight w:val="432"/>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A826526" w14:textId="77777777" w:rsidR="00101384" w:rsidRPr="00B13A3D" w:rsidRDefault="00101384" w:rsidP="00D227EB">
            <w:pPr>
              <w:pStyle w:val="Bezproreda"/>
              <w:jc w:val="both"/>
              <w:rPr>
                <w:b/>
                <w:bCs/>
                <w:sz w:val="22"/>
              </w:rPr>
            </w:pPr>
          </w:p>
        </w:tc>
        <w:tc>
          <w:tcPr>
            <w:tcW w:w="2596" w:type="dxa"/>
            <w:tcBorders>
              <w:top w:val="single" w:sz="4" w:space="0" w:color="auto"/>
              <w:left w:val="single" w:sz="4" w:space="0" w:color="auto"/>
              <w:bottom w:val="single" w:sz="4" w:space="0" w:color="auto"/>
              <w:right w:val="single" w:sz="4" w:space="0" w:color="auto"/>
            </w:tcBorders>
            <w:hideMark/>
          </w:tcPr>
          <w:p w14:paraId="276F584B" w14:textId="77777777" w:rsidR="00101384" w:rsidRPr="000B4874" w:rsidRDefault="00101384" w:rsidP="006143F1">
            <w:pPr>
              <w:pStyle w:val="Bezproreda"/>
              <w:rPr>
                <w:sz w:val="22"/>
              </w:rPr>
            </w:pPr>
            <w:r w:rsidRPr="000B4874">
              <w:rPr>
                <w:sz w:val="22"/>
              </w:rPr>
              <w:t>Preneseni višak ili preneseni manjak prihoda nad rashodima</w:t>
            </w:r>
          </w:p>
        </w:tc>
        <w:tc>
          <w:tcPr>
            <w:tcW w:w="4542" w:type="dxa"/>
            <w:tcBorders>
              <w:top w:val="single" w:sz="4" w:space="0" w:color="auto"/>
              <w:left w:val="single" w:sz="4" w:space="0" w:color="auto"/>
              <w:bottom w:val="single" w:sz="4" w:space="0" w:color="auto"/>
              <w:right w:val="single" w:sz="4" w:space="0" w:color="auto"/>
            </w:tcBorders>
            <w:hideMark/>
          </w:tcPr>
          <w:p w14:paraId="759B07E4" w14:textId="77777777" w:rsidR="00101384" w:rsidRPr="000B4874" w:rsidRDefault="00101384" w:rsidP="00D227EB">
            <w:pPr>
              <w:pStyle w:val="Bezproreda"/>
              <w:jc w:val="both"/>
              <w:rPr>
                <w:sz w:val="22"/>
              </w:rPr>
            </w:pPr>
            <w:r w:rsidRPr="000B4874">
              <w:rPr>
                <w:sz w:val="22"/>
              </w:rPr>
              <w:t>-ako ukupni prihodi i primici nisu jednaki ukupnim rashodima i izdacima, financijski plan sadrži i preneseni višak ili preneseni manjak prihoda nad rashodima</w:t>
            </w:r>
          </w:p>
        </w:tc>
      </w:tr>
      <w:tr w:rsidR="00101384" w:rsidRPr="000B4874" w14:paraId="6A9A1CFC" w14:textId="77777777" w:rsidTr="00846C2D">
        <w:trPr>
          <w:trHeight w:val="516"/>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B8EDCA" w14:textId="77777777" w:rsidR="00101384" w:rsidRPr="00B13A3D" w:rsidRDefault="00101384" w:rsidP="00D227EB">
            <w:pPr>
              <w:pStyle w:val="Bezproreda"/>
              <w:jc w:val="both"/>
              <w:rPr>
                <w:b/>
                <w:bCs/>
                <w:sz w:val="22"/>
              </w:rPr>
            </w:pPr>
          </w:p>
        </w:tc>
        <w:tc>
          <w:tcPr>
            <w:tcW w:w="2596" w:type="dxa"/>
            <w:tcBorders>
              <w:top w:val="single" w:sz="4" w:space="0" w:color="auto"/>
              <w:left w:val="single" w:sz="4" w:space="0" w:color="auto"/>
              <w:bottom w:val="single" w:sz="4" w:space="0" w:color="auto"/>
              <w:right w:val="single" w:sz="4" w:space="0" w:color="auto"/>
            </w:tcBorders>
          </w:tcPr>
          <w:p w14:paraId="0087634F" w14:textId="77777777" w:rsidR="00101384" w:rsidRPr="000B4874" w:rsidRDefault="00101384" w:rsidP="00D227EB">
            <w:pPr>
              <w:pStyle w:val="Bezproreda"/>
              <w:jc w:val="both"/>
              <w:rPr>
                <w:sz w:val="22"/>
              </w:rPr>
            </w:pPr>
          </w:p>
          <w:p w14:paraId="64F98A2A" w14:textId="77777777" w:rsidR="00101384" w:rsidRPr="000B4874" w:rsidRDefault="00101384" w:rsidP="00D227EB">
            <w:pPr>
              <w:pStyle w:val="Bezproreda"/>
              <w:jc w:val="both"/>
              <w:rPr>
                <w:sz w:val="22"/>
              </w:rPr>
            </w:pPr>
          </w:p>
          <w:p w14:paraId="54365D80" w14:textId="77777777" w:rsidR="00101384" w:rsidRPr="000B4874" w:rsidRDefault="00101384" w:rsidP="00156BEC">
            <w:pPr>
              <w:pStyle w:val="Bezproreda"/>
              <w:rPr>
                <w:sz w:val="22"/>
              </w:rPr>
            </w:pPr>
            <w:r w:rsidRPr="000B4874">
              <w:rPr>
                <w:sz w:val="22"/>
              </w:rPr>
              <w:t>Višegodišnji plan uravnoteženja</w:t>
            </w:r>
          </w:p>
        </w:tc>
        <w:tc>
          <w:tcPr>
            <w:tcW w:w="4542" w:type="dxa"/>
            <w:tcBorders>
              <w:top w:val="single" w:sz="4" w:space="0" w:color="auto"/>
              <w:left w:val="single" w:sz="4" w:space="0" w:color="auto"/>
              <w:bottom w:val="single" w:sz="4" w:space="0" w:color="auto"/>
              <w:right w:val="single" w:sz="4" w:space="0" w:color="auto"/>
            </w:tcBorders>
            <w:hideMark/>
          </w:tcPr>
          <w:p w14:paraId="44ADE08D" w14:textId="77777777" w:rsidR="00101384" w:rsidRPr="000B4874" w:rsidRDefault="00101384" w:rsidP="00D227EB">
            <w:pPr>
              <w:pStyle w:val="Bezproreda"/>
              <w:jc w:val="both"/>
              <w:rPr>
                <w:sz w:val="22"/>
              </w:rPr>
            </w:pPr>
            <w:r w:rsidRPr="000B4874">
              <w:rPr>
                <w:sz w:val="22"/>
              </w:rPr>
              <w:t xml:space="preserve">- ako proračunski korisnici ne mogu preneseni manjak podmiriti do kraja proračunske godine, obvezni su izraditi višegodišnji plan uravnoteženja za razdoblje za koje se financijski plan donosi </w:t>
            </w:r>
          </w:p>
          <w:p w14:paraId="5D8C4E06" w14:textId="77777777" w:rsidR="00101384" w:rsidRPr="000B4874" w:rsidRDefault="00101384" w:rsidP="00D227EB">
            <w:pPr>
              <w:pStyle w:val="Bezproreda"/>
              <w:jc w:val="both"/>
              <w:rPr>
                <w:sz w:val="22"/>
              </w:rPr>
            </w:pPr>
            <w:r w:rsidRPr="000B4874">
              <w:rPr>
                <w:sz w:val="22"/>
              </w:rPr>
              <w:t>- ako proračunski korisnici ne mogu preneseni višak, zbog njegove veličine, u cijelosti iskoristiti u jednoj proračunskoj godini, korištenje viška planira se višegodišnjim planom uravnoteženja za razdoblje za koje se financijski plan donosi</w:t>
            </w:r>
          </w:p>
        </w:tc>
      </w:tr>
      <w:tr w:rsidR="00101384" w:rsidRPr="000B4874" w14:paraId="4A8A8919" w14:textId="77777777" w:rsidTr="00846C2D">
        <w:tc>
          <w:tcPr>
            <w:tcW w:w="192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556E376" w14:textId="77777777" w:rsidR="00101384" w:rsidRPr="00B13A3D" w:rsidRDefault="00101384" w:rsidP="00D227EB">
            <w:pPr>
              <w:pStyle w:val="Bezproreda"/>
              <w:rPr>
                <w:b/>
                <w:bCs/>
                <w:sz w:val="22"/>
              </w:rPr>
            </w:pPr>
            <w:r w:rsidRPr="00B13A3D">
              <w:rPr>
                <w:b/>
                <w:bCs/>
                <w:sz w:val="22"/>
              </w:rPr>
              <w:t>Posebni dio financijskog plana</w:t>
            </w:r>
          </w:p>
        </w:tc>
        <w:tc>
          <w:tcPr>
            <w:tcW w:w="2596" w:type="dxa"/>
            <w:tcBorders>
              <w:top w:val="single" w:sz="4" w:space="0" w:color="auto"/>
              <w:left w:val="single" w:sz="4" w:space="0" w:color="auto"/>
              <w:bottom w:val="single" w:sz="4" w:space="0" w:color="auto"/>
              <w:right w:val="single" w:sz="4" w:space="0" w:color="auto"/>
            </w:tcBorders>
            <w:hideMark/>
          </w:tcPr>
          <w:p w14:paraId="6160FFA1" w14:textId="77777777" w:rsidR="00101384" w:rsidRPr="000B4874" w:rsidRDefault="00101384" w:rsidP="006143F1">
            <w:pPr>
              <w:pStyle w:val="Bezproreda"/>
              <w:rPr>
                <w:sz w:val="22"/>
              </w:rPr>
            </w:pPr>
            <w:r w:rsidRPr="000B4874">
              <w:rPr>
                <w:sz w:val="22"/>
              </w:rPr>
              <w:t>Plan rashoda i izdataka proračunskih korisnika</w:t>
            </w:r>
          </w:p>
        </w:tc>
        <w:tc>
          <w:tcPr>
            <w:tcW w:w="4542" w:type="dxa"/>
            <w:tcBorders>
              <w:top w:val="single" w:sz="4" w:space="0" w:color="auto"/>
              <w:left w:val="single" w:sz="4" w:space="0" w:color="auto"/>
              <w:bottom w:val="single" w:sz="4" w:space="0" w:color="auto"/>
              <w:right w:val="single" w:sz="4" w:space="0" w:color="auto"/>
            </w:tcBorders>
            <w:hideMark/>
          </w:tcPr>
          <w:p w14:paraId="613BB48E" w14:textId="77777777" w:rsidR="00101384" w:rsidRPr="000B4874" w:rsidRDefault="00101384" w:rsidP="00D227EB">
            <w:pPr>
              <w:pStyle w:val="Bezproreda"/>
              <w:jc w:val="both"/>
              <w:rPr>
                <w:sz w:val="22"/>
              </w:rPr>
            </w:pPr>
            <w:r w:rsidRPr="000B4874">
              <w:rPr>
                <w:sz w:val="22"/>
              </w:rPr>
              <w:t>- rashodi i izdaci iskazani po izvorima financiranja i ekonomskoj klasifikaciji na razini skupine, raspoređeni u programe koji se sastoje od aktivnosti i projekata</w:t>
            </w:r>
          </w:p>
        </w:tc>
      </w:tr>
      <w:tr w:rsidR="00101384" w:rsidRPr="000B4874" w14:paraId="523E5554" w14:textId="77777777" w:rsidTr="00846C2D">
        <w:tc>
          <w:tcPr>
            <w:tcW w:w="192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FBA51EF" w14:textId="77777777" w:rsidR="00101384" w:rsidRPr="00B13A3D" w:rsidRDefault="00101384" w:rsidP="00D227EB">
            <w:pPr>
              <w:pStyle w:val="Bezproreda"/>
              <w:rPr>
                <w:b/>
                <w:bCs/>
                <w:sz w:val="22"/>
              </w:rPr>
            </w:pPr>
            <w:r w:rsidRPr="00B13A3D">
              <w:rPr>
                <w:b/>
                <w:bCs/>
                <w:sz w:val="22"/>
              </w:rPr>
              <w:t>Obrazloženje financijskog plana</w:t>
            </w:r>
          </w:p>
        </w:tc>
        <w:tc>
          <w:tcPr>
            <w:tcW w:w="2596" w:type="dxa"/>
            <w:tcBorders>
              <w:top w:val="single" w:sz="4" w:space="0" w:color="auto"/>
              <w:left w:val="single" w:sz="4" w:space="0" w:color="auto"/>
              <w:bottom w:val="single" w:sz="4" w:space="0" w:color="auto"/>
              <w:right w:val="single" w:sz="4" w:space="0" w:color="auto"/>
            </w:tcBorders>
            <w:hideMark/>
          </w:tcPr>
          <w:p w14:paraId="69E60D19" w14:textId="77777777" w:rsidR="00101384" w:rsidRPr="000B4874" w:rsidRDefault="00101384" w:rsidP="006143F1">
            <w:pPr>
              <w:pStyle w:val="Bezproreda"/>
              <w:rPr>
                <w:sz w:val="22"/>
              </w:rPr>
            </w:pPr>
            <w:r w:rsidRPr="000B4874">
              <w:rPr>
                <w:sz w:val="22"/>
              </w:rPr>
              <w:t>Obrazloženje općeg dijela financijskog plana i obrazloženje posebnog dijela financijskog plana</w:t>
            </w:r>
          </w:p>
        </w:tc>
        <w:tc>
          <w:tcPr>
            <w:tcW w:w="4542" w:type="dxa"/>
            <w:tcBorders>
              <w:top w:val="single" w:sz="4" w:space="0" w:color="auto"/>
              <w:left w:val="single" w:sz="4" w:space="0" w:color="auto"/>
              <w:bottom w:val="single" w:sz="4" w:space="0" w:color="auto"/>
              <w:right w:val="single" w:sz="4" w:space="0" w:color="auto"/>
            </w:tcBorders>
            <w:hideMark/>
          </w:tcPr>
          <w:p w14:paraId="399158AA" w14:textId="77777777" w:rsidR="00101384" w:rsidRPr="000B4874" w:rsidRDefault="00101384" w:rsidP="00D227EB">
            <w:pPr>
              <w:pStyle w:val="Bezproreda"/>
              <w:jc w:val="both"/>
              <w:rPr>
                <w:sz w:val="22"/>
              </w:rPr>
            </w:pPr>
            <w:r w:rsidRPr="000B4874">
              <w:rPr>
                <w:sz w:val="22"/>
              </w:rPr>
              <w:t xml:space="preserve">- obrazloženje općeg dijela financijskog plana sadrži obrazloženje prihoda i rashoda, primitaka i izdataka te obrazloženje prenesenog manjka odnosno viška financijskog plana </w:t>
            </w:r>
          </w:p>
          <w:p w14:paraId="180350C5" w14:textId="77777777" w:rsidR="00101384" w:rsidRPr="000B4874" w:rsidRDefault="00101384" w:rsidP="00D227EB">
            <w:pPr>
              <w:pStyle w:val="Bezproreda"/>
              <w:jc w:val="both"/>
              <w:rPr>
                <w:sz w:val="22"/>
              </w:rPr>
            </w:pPr>
            <w:r w:rsidRPr="000B4874">
              <w:rPr>
                <w:sz w:val="22"/>
              </w:rPr>
              <w:t>- obrazloženje posebnog dijela financijskog plana sastoji se od obrazloženja programa koje se daje kroz obrazloženje aktivnosti i projekata zajedno s ciljevima i pokazateljima uspješnosti iz akata strateškog planiranja i godišnjeg plana rada</w:t>
            </w:r>
          </w:p>
        </w:tc>
      </w:tr>
    </w:tbl>
    <w:p w14:paraId="402478BA" w14:textId="77777777" w:rsidR="00D227EB" w:rsidRDefault="00D227EB" w:rsidP="00D227EB">
      <w:pPr>
        <w:pStyle w:val="Bezproreda"/>
        <w:jc w:val="both"/>
        <w:rPr>
          <w:rFonts w:cs="Times New Roman"/>
          <w:b/>
          <w:bCs/>
          <w:szCs w:val="24"/>
        </w:rPr>
      </w:pPr>
    </w:p>
    <w:p w14:paraId="56F0EB4C" w14:textId="77777777" w:rsidR="00D227EB" w:rsidRDefault="00D227EB" w:rsidP="00D227EB">
      <w:pPr>
        <w:pStyle w:val="Bezproreda"/>
        <w:jc w:val="both"/>
        <w:rPr>
          <w:rFonts w:cs="Times New Roman"/>
          <w:b/>
          <w:bCs/>
          <w:szCs w:val="24"/>
        </w:rPr>
      </w:pPr>
    </w:p>
    <w:p w14:paraId="1B70E6EB" w14:textId="5196316C" w:rsidR="00BE0D9F" w:rsidRPr="004B5E07" w:rsidRDefault="004B5E07" w:rsidP="004B5E07">
      <w:pPr>
        <w:pStyle w:val="Naslov2"/>
        <w:rPr>
          <w:b/>
          <w:bCs/>
        </w:rPr>
      </w:pPr>
      <w:bookmarkStart w:id="11" w:name="_Toc211859970"/>
      <w:r w:rsidRPr="004B5E07">
        <w:rPr>
          <w:b/>
          <w:bCs/>
        </w:rPr>
        <w:t>4.2. Planiranje viškova i manjkova</w:t>
      </w:r>
      <w:bookmarkEnd w:id="11"/>
    </w:p>
    <w:p w14:paraId="12B93B99" w14:textId="77777777" w:rsidR="00BE0D9F" w:rsidRPr="00721860" w:rsidRDefault="00BE0D9F" w:rsidP="00BE0D9F">
      <w:pPr>
        <w:jc w:val="both"/>
        <w:rPr>
          <w:b/>
        </w:rPr>
      </w:pPr>
    </w:p>
    <w:p w14:paraId="5557989E" w14:textId="77777777" w:rsidR="00BE0D9F" w:rsidRDefault="00BE0D9F" w:rsidP="00BE0D9F">
      <w:pPr>
        <w:ind w:firstLine="708"/>
        <w:jc w:val="both"/>
      </w:pPr>
      <w:r w:rsidRPr="00847CDE">
        <w:t xml:space="preserve"> Uključivanje viška / manjka iz pret</w:t>
      </w:r>
      <w:r>
        <w:t xml:space="preserve">hodnih godina u </w:t>
      </w:r>
      <w:r w:rsidRPr="00847CDE">
        <w:t xml:space="preserve"> </w:t>
      </w:r>
      <w:r>
        <w:t>f</w:t>
      </w:r>
      <w:r w:rsidRPr="00847CDE">
        <w:t>inancijski plan proračunskog korisnika treba biti uravnotežen. Izuzev prihoda i rashoda (korisnici najčešće nemaju primitaka i izdataka), u financijski plan je potrebno uključiti i predviđeni manjak, odnosno višak prihoda te s navedenim bilančnim kategorijama postići uravnoteženje. Također je taj višak / manjak potrebno planirati i po izvorima.</w:t>
      </w:r>
      <w:r>
        <w:t xml:space="preserve"> Člankom 37. novog Zakona o proračunu propisano je ako jedinice lokalne i područne (regionalne) samouprave i njihovi proračunski korisnici ne mogu preneseni manjak podmiriti do kraja proračunske godine, obvezni su izraditi višegodišnji plan uravnoteženja za razdoblje za koje se proračun odnosno financijski plan donosi. Isto tako ako jedinice lokalne i područne (regionalne) samouprave i njihovi proračunski korisnici ne mogu preneseni višak u cijelosti iskoristiti u jednoj proračunskoj godini, korištenje viška planira se višegodišnjim planom uravnoteženja.</w:t>
      </w:r>
    </w:p>
    <w:p w14:paraId="08BEAB14" w14:textId="77777777" w:rsidR="00BE0D9F" w:rsidRDefault="00BE0D9F" w:rsidP="00BE0D9F">
      <w:pPr>
        <w:jc w:val="both"/>
      </w:pPr>
    </w:p>
    <w:p w14:paraId="78F0A83E" w14:textId="77777777" w:rsidR="00CE26B9" w:rsidRDefault="00CE26B9" w:rsidP="00BE0D9F">
      <w:pPr>
        <w:jc w:val="both"/>
      </w:pPr>
    </w:p>
    <w:p w14:paraId="364E4887" w14:textId="77777777" w:rsidR="00CE26B9" w:rsidRDefault="00CE26B9" w:rsidP="00BE0D9F">
      <w:pPr>
        <w:jc w:val="both"/>
      </w:pPr>
    </w:p>
    <w:p w14:paraId="30847615" w14:textId="77777777" w:rsidR="00CE26B9" w:rsidRDefault="00CE26B9" w:rsidP="00BE0D9F">
      <w:pPr>
        <w:jc w:val="both"/>
      </w:pPr>
    </w:p>
    <w:p w14:paraId="1C86B7AC" w14:textId="14DCAB23" w:rsidR="00BE0D9F" w:rsidRPr="004B5E07" w:rsidRDefault="004B5E07" w:rsidP="004B5E07">
      <w:pPr>
        <w:pStyle w:val="Naslov2"/>
        <w:rPr>
          <w:b/>
          <w:bCs/>
        </w:rPr>
      </w:pPr>
      <w:bookmarkStart w:id="12" w:name="_Toc211859971"/>
      <w:r w:rsidRPr="004B5E07">
        <w:rPr>
          <w:b/>
          <w:bCs/>
        </w:rPr>
        <w:lastRenderedPageBreak/>
        <w:t xml:space="preserve">4.3. </w:t>
      </w:r>
      <w:r w:rsidR="00BE0D9F" w:rsidRPr="004B5E07">
        <w:rPr>
          <w:b/>
          <w:bCs/>
        </w:rPr>
        <w:t>I</w:t>
      </w:r>
      <w:r w:rsidRPr="004B5E07">
        <w:rPr>
          <w:b/>
          <w:bCs/>
        </w:rPr>
        <w:t>zmjene i dopune financijskog plana</w:t>
      </w:r>
      <w:bookmarkEnd w:id="12"/>
    </w:p>
    <w:p w14:paraId="3B82CE80" w14:textId="77777777" w:rsidR="00BE0D9F" w:rsidRDefault="00BE0D9F" w:rsidP="00BE0D9F">
      <w:pPr>
        <w:jc w:val="both"/>
        <w:rPr>
          <w:b/>
        </w:rPr>
      </w:pPr>
    </w:p>
    <w:p w14:paraId="774105E4" w14:textId="43EBFEB3" w:rsidR="00BE0D9F" w:rsidRDefault="00BE0D9F" w:rsidP="00BE0D9F">
      <w:pPr>
        <w:ind w:firstLine="708"/>
        <w:jc w:val="both"/>
      </w:pPr>
      <w:r>
        <w:t>Izmjenama i dopunama financijskog plana mijenja se isključivo usvojeni plan za tekuću proračunsku godinu. Na postupak donošenja izmjena i dopuna financijskog plana na odgovarajući se način primjenjuju odredbe Zakona o proračunu za postupak donošenja financijskog plana. Izmjenama i dopunama financijskog plana ne mogu se umanjiti rashodi i izdaci ispod razine izvršenja i preuzetih obveza po investicijskim projektima, te preuzetih obveza iz ugovora koji zahtijevaju plaćanja u sljedećim godinama. Ostvareni namjenski prihodi i primici i ostvareni vlastiti prihodi te rashodi i izdaci izvršeni iznad iznosa utvrđenih u proračunu, izmjenama i dopunama proračuna moraju s</w:t>
      </w:r>
      <w:r w:rsidR="006143F1">
        <w:t>e</w:t>
      </w:r>
      <w:r>
        <w:t xml:space="preserve"> planirati minimalno na razini ostvarenih prihoda i primitaka, odnosno izvršenih rashoda i izdataka. Uz svake izmjene i dopune proračuna obavezno je izraditi obrazloženje izmjena i dopuna proračuna (općeg i posebnog dijela).</w:t>
      </w:r>
    </w:p>
    <w:p w14:paraId="7D66FEBB" w14:textId="77777777" w:rsidR="00BE0D9F" w:rsidRDefault="00BE0D9F" w:rsidP="00BE0D9F">
      <w:pPr>
        <w:ind w:firstLine="708"/>
        <w:jc w:val="both"/>
      </w:pPr>
    </w:p>
    <w:p w14:paraId="148BF5D0" w14:textId="77777777" w:rsidR="00BE0D9F" w:rsidRDefault="00BE0D9F" w:rsidP="00BE0D9F">
      <w:pPr>
        <w:ind w:firstLine="708"/>
        <w:jc w:val="both"/>
      </w:pPr>
      <w:r>
        <w:t>Kada je riječ o promjenama u financijskom planu proračunskog korisnika koje su vezane uz financiranje iz izvora općih prihoda i primitaka, odnosno iz nadležnog proračuna, izmjene i dopune financijskog plana proračunskog korisnika nisu moguće bez suglasnosti Općine, Izmjene i dopune financijskog plana vezane uz „fleksibilne“ izvore (vlastiti i namjenske prihode i primitke) moguće je urediti na različite načine uz suglasnost Općine.</w:t>
      </w:r>
    </w:p>
    <w:p w14:paraId="18E05DCB" w14:textId="77777777" w:rsidR="00BE0D9F" w:rsidRPr="004B5E07" w:rsidRDefault="00BE0D9F" w:rsidP="004B5E07">
      <w:pPr>
        <w:pStyle w:val="Naslov2"/>
        <w:rPr>
          <w:b/>
          <w:bCs/>
        </w:rPr>
      </w:pPr>
    </w:p>
    <w:p w14:paraId="22A966EE" w14:textId="4C7A92F7" w:rsidR="00BE0D9F" w:rsidRPr="004B5E07" w:rsidRDefault="004B5E07" w:rsidP="004B5E07">
      <w:pPr>
        <w:pStyle w:val="Naslov2"/>
        <w:rPr>
          <w:b/>
          <w:bCs/>
        </w:rPr>
      </w:pPr>
      <w:bookmarkStart w:id="13" w:name="_Toc211859972"/>
      <w:r w:rsidRPr="004B5E07">
        <w:rPr>
          <w:b/>
          <w:bCs/>
        </w:rPr>
        <w:t xml:space="preserve">4.4. </w:t>
      </w:r>
      <w:r w:rsidR="00BE0D9F" w:rsidRPr="004B5E07">
        <w:rPr>
          <w:b/>
          <w:bCs/>
        </w:rPr>
        <w:t>F</w:t>
      </w:r>
      <w:r>
        <w:rPr>
          <w:b/>
          <w:bCs/>
        </w:rPr>
        <w:t>inancijski plan proračunskog korisnika</w:t>
      </w:r>
      <w:bookmarkEnd w:id="13"/>
    </w:p>
    <w:p w14:paraId="41E9256A" w14:textId="77777777" w:rsidR="00BE0D9F" w:rsidRDefault="00BE0D9F" w:rsidP="00BE0D9F">
      <w:pPr>
        <w:jc w:val="both"/>
        <w:rPr>
          <w:b/>
        </w:rPr>
      </w:pPr>
    </w:p>
    <w:p w14:paraId="57DE759A" w14:textId="6A971AB9" w:rsidR="00BE0D9F" w:rsidRDefault="00BE0D9F" w:rsidP="00BE0D9F">
      <w:pPr>
        <w:ind w:firstLine="708"/>
        <w:jc w:val="both"/>
      </w:pPr>
      <w:r>
        <w:t xml:space="preserve">Upravno vijeće obavezno je usvojiti prijedlog financijskog plana i financijski plan korisnika, a predstavničko tijelo proračun za 2026. godinu na razini skupine (druga razina računskog plana),  a i  projekcije za 2027. i 2028. godinu također na razini skupine (druga razina računskog plana). </w:t>
      </w:r>
    </w:p>
    <w:p w14:paraId="023172FD" w14:textId="77777777" w:rsidR="00D227EB" w:rsidRDefault="00D227EB" w:rsidP="00D227EB">
      <w:pPr>
        <w:pStyle w:val="Bezproreda"/>
        <w:jc w:val="both"/>
        <w:rPr>
          <w:rFonts w:cs="Times New Roman"/>
          <w:b/>
          <w:bCs/>
          <w:szCs w:val="24"/>
        </w:rPr>
      </w:pPr>
    </w:p>
    <w:p w14:paraId="6339B01C" w14:textId="5894596C" w:rsidR="00CB0BA0" w:rsidRPr="00214306" w:rsidRDefault="00CB0BA0" w:rsidP="00CB0BA0">
      <w:pPr>
        <w:jc w:val="both"/>
        <w:rPr>
          <w:b/>
        </w:rPr>
      </w:pPr>
      <w:r w:rsidRPr="00214306">
        <w:rPr>
          <w:b/>
        </w:rPr>
        <w:t xml:space="preserve">Tablica </w:t>
      </w:r>
      <w:r w:rsidR="00990D28" w:rsidRPr="00214306">
        <w:rPr>
          <w:b/>
        </w:rPr>
        <w:t>3</w:t>
      </w:r>
      <w:r w:rsidRPr="00214306">
        <w:rPr>
          <w:b/>
        </w:rPr>
        <w:t>. Financijski plan proračunskog korisnika za razdoblje 2026.-2028.</w:t>
      </w:r>
    </w:p>
    <w:p w14:paraId="372611E4" w14:textId="77777777" w:rsidR="00CB0BA0" w:rsidRDefault="00CB0BA0" w:rsidP="00CB0BA0">
      <w:pPr>
        <w:jc w:val="both"/>
      </w:pPr>
    </w:p>
    <w:tbl>
      <w:tblPr>
        <w:tblStyle w:val="Reetkatablice"/>
        <w:tblW w:w="0" w:type="auto"/>
        <w:tblLook w:val="04A0" w:firstRow="1" w:lastRow="0" w:firstColumn="1" w:lastColumn="0" w:noHBand="0" w:noVBand="1"/>
      </w:tblPr>
      <w:tblGrid>
        <w:gridCol w:w="1927"/>
        <w:gridCol w:w="2638"/>
        <w:gridCol w:w="4497"/>
      </w:tblGrid>
      <w:tr w:rsidR="00CB0BA0" w14:paraId="4811E9E5" w14:textId="77777777" w:rsidTr="00CB0BA0">
        <w:tc>
          <w:tcPr>
            <w:tcW w:w="2405" w:type="dxa"/>
            <w:shd w:val="clear" w:color="auto" w:fill="BDD6EE" w:themeFill="accent5" w:themeFillTint="66"/>
          </w:tcPr>
          <w:p w14:paraId="4A892B00" w14:textId="77777777" w:rsidR="00CB0BA0" w:rsidRPr="00CB0BA0" w:rsidRDefault="00CB0BA0" w:rsidP="00CB0BA0">
            <w:pPr>
              <w:pStyle w:val="Bezproreda"/>
              <w:jc w:val="both"/>
              <w:rPr>
                <w:b/>
                <w:bCs/>
                <w:sz w:val="22"/>
              </w:rPr>
            </w:pPr>
            <w:r w:rsidRPr="00CB0BA0">
              <w:rPr>
                <w:b/>
                <w:bCs/>
                <w:sz w:val="22"/>
              </w:rPr>
              <w:t>SADRŽAJ</w:t>
            </w:r>
          </w:p>
        </w:tc>
        <w:tc>
          <w:tcPr>
            <w:tcW w:w="3827" w:type="dxa"/>
            <w:tcBorders>
              <w:bottom w:val="single" w:sz="4" w:space="0" w:color="auto"/>
            </w:tcBorders>
            <w:shd w:val="clear" w:color="auto" w:fill="BDD6EE" w:themeFill="accent5" w:themeFillTint="66"/>
          </w:tcPr>
          <w:p w14:paraId="0B436A4E" w14:textId="77777777" w:rsidR="00CB0BA0" w:rsidRPr="00CB0BA0" w:rsidRDefault="00CB0BA0" w:rsidP="00CB0BA0">
            <w:pPr>
              <w:pStyle w:val="Bezproreda"/>
              <w:jc w:val="both"/>
              <w:rPr>
                <w:b/>
                <w:bCs/>
                <w:sz w:val="22"/>
              </w:rPr>
            </w:pPr>
            <w:r w:rsidRPr="00CB0BA0">
              <w:rPr>
                <w:b/>
                <w:bCs/>
                <w:sz w:val="22"/>
              </w:rPr>
              <w:t>SASTAVNI DIO</w:t>
            </w:r>
          </w:p>
        </w:tc>
        <w:tc>
          <w:tcPr>
            <w:tcW w:w="7716" w:type="dxa"/>
            <w:shd w:val="clear" w:color="auto" w:fill="BDD6EE" w:themeFill="accent5" w:themeFillTint="66"/>
          </w:tcPr>
          <w:p w14:paraId="3451FADE" w14:textId="77777777" w:rsidR="00CB0BA0" w:rsidRPr="00CB0BA0" w:rsidRDefault="00CB0BA0" w:rsidP="00CB0BA0">
            <w:pPr>
              <w:pStyle w:val="Bezproreda"/>
              <w:jc w:val="both"/>
              <w:rPr>
                <w:b/>
                <w:bCs/>
                <w:sz w:val="22"/>
              </w:rPr>
            </w:pPr>
            <w:r w:rsidRPr="00CB0BA0">
              <w:rPr>
                <w:b/>
                <w:bCs/>
                <w:sz w:val="22"/>
              </w:rPr>
              <w:t>OPIS SASTAVNOG DIJELA</w:t>
            </w:r>
          </w:p>
        </w:tc>
      </w:tr>
      <w:tr w:rsidR="00CB0BA0" w14:paraId="7640A4D6" w14:textId="77777777" w:rsidTr="00A03329">
        <w:trPr>
          <w:trHeight w:val="516"/>
        </w:trPr>
        <w:tc>
          <w:tcPr>
            <w:tcW w:w="2405" w:type="dxa"/>
            <w:vMerge w:val="restart"/>
          </w:tcPr>
          <w:p w14:paraId="7246C876" w14:textId="77777777" w:rsidR="00CB0BA0" w:rsidRPr="00CB0BA0" w:rsidRDefault="00CB0BA0" w:rsidP="00A03329">
            <w:pPr>
              <w:jc w:val="both"/>
              <w:rPr>
                <w:b/>
                <w:bCs/>
              </w:rPr>
            </w:pPr>
          </w:p>
          <w:p w14:paraId="208541A4" w14:textId="77777777" w:rsidR="00CB0BA0" w:rsidRPr="00CB0BA0" w:rsidRDefault="00CB0BA0" w:rsidP="00A03329">
            <w:pPr>
              <w:jc w:val="both"/>
              <w:rPr>
                <w:b/>
                <w:bCs/>
              </w:rPr>
            </w:pPr>
          </w:p>
          <w:p w14:paraId="33340446" w14:textId="77777777" w:rsidR="00CB0BA0" w:rsidRPr="00CB0BA0" w:rsidRDefault="00CB0BA0" w:rsidP="00A03329">
            <w:pPr>
              <w:jc w:val="both"/>
              <w:rPr>
                <w:b/>
                <w:bCs/>
              </w:rPr>
            </w:pPr>
          </w:p>
          <w:p w14:paraId="6D94C725" w14:textId="77777777" w:rsidR="00CB0BA0" w:rsidRPr="00CB0BA0" w:rsidRDefault="00CB0BA0" w:rsidP="00A03329">
            <w:pPr>
              <w:jc w:val="both"/>
              <w:rPr>
                <w:b/>
                <w:bCs/>
              </w:rPr>
            </w:pPr>
          </w:p>
          <w:p w14:paraId="7FA8CED9" w14:textId="77777777" w:rsidR="00CB0BA0" w:rsidRPr="00CB0BA0" w:rsidRDefault="00CB0BA0" w:rsidP="00A03329">
            <w:pPr>
              <w:jc w:val="both"/>
              <w:rPr>
                <w:b/>
                <w:bCs/>
              </w:rPr>
            </w:pPr>
          </w:p>
          <w:p w14:paraId="0A145724" w14:textId="77777777" w:rsidR="00CB0BA0" w:rsidRPr="00CB0BA0" w:rsidRDefault="00CB0BA0" w:rsidP="00A03329">
            <w:pPr>
              <w:jc w:val="both"/>
              <w:rPr>
                <w:b/>
                <w:bCs/>
              </w:rPr>
            </w:pPr>
          </w:p>
          <w:p w14:paraId="495FC0BE" w14:textId="77777777" w:rsidR="00CB0BA0" w:rsidRPr="00CB0BA0" w:rsidRDefault="00CB0BA0" w:rsidP="00A03329">
            <w:pPr>
              <w:jc w:val="both"/>
              <w:rPr>
                <w:b/>
                <w:bCs/>
              </w:rPr>
            </w:pPr>
          </w:p>
          <w:p w14:paraId="7972097E" w14:textId="77777777" w:rsidR="00CB0BA0" w:rsidRPr="00CB0BA0" w:rsidRDefault="00CB0BA0" w:rsidP="00CB0BA0">
            <w:pPr>
              <w:rPr>
                <w:b/>
                <w:bCs/>
              </w:rPr>
            </w:pPr>
            <w:r w:rsidRPr="00CB0BA0">
              <w:rPr>
                <w:b/>
                <w:bCs/>
              </w:rPr>
              <w:t>Opći dio financijskog plana</w:t>
            </w:r>
          </w:p>
          <w:p w14:paraId="26E32A20" w14:textId="77777777" w:rsidR="00CB0BA0" w:rsidRPr="00CB0BA0" w:rsidRDefault="00CB0BA0" w:rsidP="00A03329">
            <w:pPr>
              <w:jc w:val="both"/>
              <w:rPr>
                <w:b/>
                <w:bCs/>
              </w:rPr>
            </w:pPr>
          </w:p>
          <w:p w14:paraId="73D3D122" w14:textId="77777777" w:rsidR="00CB0BA0" w:rsidRPr="00CB0BA0" w:rsidRDefault="00CB0BA0" w:rsidP="00A03329">
            <w:pPr>
              <w:jc w:val="both"/>
              <w:rPr>
                <w:b/>
                <w:bCs/>
              </w:rPr>
            </w:pPr>
          </w:p>
          <w:p w14:paraId="200AF872" w14:textId="77777777" w:rsidR="00CB0BA0" w:rsidRPr="00CB0BA0" w:rsidRDefault="00CB0BA0" w:rsidP="00A03329">
            <w:pPr>
              <w:jc w:val="both"/>
              <w:rPr>
                <w:b/>
                <w:bCs/>
              </w:rPr>
            </w:pPr>
          </w:p>
          <w:p w14:paraId="5FE9E0E3" w14:textId="77777777" w:rsidR="00CB0BA0" w:rsidRPr="00CB0BA0" w:rsidRDefault="00CB0BA0" w:rsidP="00A03329">
            <w:pPr>
              <w:jc w:val="both"/>
              <w:rPr>
                <w:b/>
                <w:bCs/>
              </w:rPr>
            </w:pPr>
          </w:p>
        </w:tc>
        <w:tc>
          <w:tcPr>
            <w:tcW w:w="3827" w:type="dxa"/>
            <w:tcBorders>
              <w:bottom w:val="single" w:sz="4" w:space="0" w:color="auto"/>
            </w:tcBorders>
          </w:tcPr>
          <w:p w14:paraId="2A655C80" w14:textId="77777777" w:rsidR="00CB0BA0" w:rsidRPr="0032463C" w:rsidRDefault="00CB0BA0" w:rsidP="00A03329">
            <w:pPr>
              <w:jc w:val="both"/>
            </w:pPr>
            <w:r w:rsidRPr="0032463C">
              <w:t>Sažetak Računa prihoda i rashoda</w:t>
            </w:r>
            <w:r>
              <w:t>,</w:t>
            </w:r>
            <w:r w:rsidRPr="0032463C">
              <w:t xml:space="preserve"> Sažetak Računa financiranja</w:t>
            </w:r>
          </w:p>
        </w:tc>
        <w:tc>
          <w:tcPr>
            <w:tcW w:w="7716" w:type="dxa"/>
            <w:tcBorders>
              <w:bottom w:val="single" w:sz="4" w:space="0" w:color="auto"/>
            </w:tcBorders>
          </w:tcPr>
          <w:p w14:paraId="0D9A73E5" w14:textId="77777777" w:rsidR="00CB0BA0" w:rsidRPr="0032463C" w:rsidRDefault="00CB0BA0" w:rsidP="00A03329">
            <w:pPr>
              <w:jc w:val="both"/>
            </w:pPr>
            <w:r w:rsidRPr="0032463C">
              <w:t xml:space="preserve">- ukupni prihodi poslovanja i prihodi od prodaje nefinancijske imovine, ukupni rashodi poslovanja i rashodi za nabavu nefinancijske imovine </w:t>
            </w:r>
          </w:p>
          <w:p w14:paraId="795CC00D" w14:textId="77777777" w:rsidR="00CB0BA0" w:rsidRPr="0032463C" w:rsidRDefault="00CB0BA0" w:rsidP="00A03329">
            <w:pPr>
              <w:jc w:val="both"/>
            </w:pPr>
            <w:r w:rsidRPr="0032463C">
              <w:t>- ukupni primici od financijske imovine i zaduživanja i izdaci za financijsku imovinu i otplate zajmova</w:t>
            </w:r>
          </w:p>
        </w:tc>
      </w:tr>
      <w:tr w:rsidR="00CB0BA0" w14:paraId="06700EA2" w14:textId="77777777" w:rsidTr="00A03329">
        <w:trPr>
          <w:trHeight w:val="468"/>
        </w:trPr>
        <w:tc>
          <w:tcPr>
            <w:tcW w:w="2405" w:type="dxa"/>
            <w:vMerge/>
          </w:tcPr>
          <w:p w14:paraId="29009829" w14:textId="77777777" w:rsidR="00CB0BA0" w:rsidRPr="0032463C" w:rsidRDefault="00CB0BA0" w:rsidP="00A03329">
            <w:pPr>
              <w:jc w:val="both"/>
            </w:pPr>
          </w:p>
        </w:tc>
        <w:tc>
          <w:tcPr>
            <w:tcW w:w="3827" w:type="dxa"/>
            <w:tcBorders>
              <w:bottom w:val="single" w:sz="4" w:space="0" w:color="auto"/>
            </w:tcBorders>
          </w:tcPr>
          <w:p w14:paraId="16DA1E76" w14:textId="77777777" w:rsidR="00CB0BA0" w:rsidRPr="0032463C" w:rsidRDefault="00CB0BA0" w:rsidP="00A03329">
            <w:pPr>
              <w:jc w:val="both"/>
            </w:pPr>
            <w:r w:rsidRPr="0032463C">
              <w:t>Račun prihoda i rashoda</w:t>
            </w:r>
          </w:p>
        </w:tc>
        <w:tc>
          <w:tcPr>
            <w:tcW w:w="7716" w:type="dxa"/>
            <w:tcBorders>
              <w:bottom w:val="single" w:sz="4" w:space="0" w:color="auto"/>
            </w:tcBorders>
          </w:tcPr>
          <w:p w14:paraId="48CF45DF" w14:textId="77777777" w:rsidR="00CB0BA0" w:rsidRPr="0032463C" w:rsidRDefault="00CB0BA0" w:rsidP="00A03329">
            <w:pPr>
              <w:jc w:val="both"/>
            </w:pPr>
            <w:r w:rsidRPr="0032463C">
              <w:t xml:space="preserve">- ukupni prihodi i rashodi iskazani prema ekonomskoj klasifikaciji na razini skupine </w:t>
            </w:r>
          </w:p>
          <w:p w14:paraId="52B84DE8" w14:textId="77777777" w:rsidR="00CB0BA0" w:rsidRPr="0032463C" w:rsidRDefault="00CB0BA0" w:rsidP="00A03329">
            <w:pPr>
              <w:jc w:val="both"/>
            </w:pPr>
            <w:r w:rsidRPr="0032463C">
              <w:t xml:space="preserve">- ukupni prihodi i rashodi iskazani prema izvorima financiranja </w:t>
            </w:r>
          </w:p>
          <w:p w14:paraId="0391AB94" w14:textId="77777777" w:rsidR="00CB0BA0" w:rsidRPr="0032463C" w:rsidRDefault="00CB0BA0" w:rsidP="00A03329">
            <w:pPr>
              <w:jc w:val="both"/>
            </w:pPr>
            <w:r w:rsidRPr="0032463C">
              <w:t>- ukupni rashodi iskazani prema funkcijskoj klasifikaciji</w:t>
            </w:r>
          </w:p>
        </w:tc>
      </w:tr>
      <w:tr w:rsidR="00CB0BA0" w14:paraId="480FE471" w14:textId="77777777" w:rsidTr="00A03329">
        <w:trPr>
          <w:trHeight w:val="516"/>
        </w:trPr>
        <w:tc>
          <w:tcPr>
            <w:tcW w:w="2405" w:type="dxa"/>
            <w:vMerge/>
          </w:tcPr>
          <w:p w14:paraId="13EE035E" w14:textId="77777777" w:rsidR="00CB0BA0" w:rsidRPr="0032463C" w:rsidRDefault="00CB0BA0" w:rsidP="00A03329">
            <w:pPr>
              <w:jc w:val="both"/>
            </w:pPr>
          </w:p>
        </w:tc>
        <w:tc>
          <w:tcPr>
            <w:tcW w:w="3827" w:type="dxa"/>
            <w:tcBorders>
              <w:bottom w:val="single" w:sz="4" w:space="0" w:color="auto"/>
            </w:tcBorders>
          </w:tcPr>
          <w:p w14:paraId="2D03EE90" w14:textId="77777777" w:rsidR="00CB0BA0" w:rsidRPr="0032463C" w:rsidRDefault="00CB0BA0" w:rsidP="00A03329">
            <w:pPr>
              <w:jc w:val="both"/>
            </w:pPr>
            <w:r w:rsidRPr="0032463C">
              <w:t>Račun financiranja</w:t>
            </w:r>
          </w:p>
        </w:tc>
        <w:tc>
          <w:tcPr>
            <w:tcW w:w="7716" w:type="dxa"/>
            <w:tcBorders>
              <w:bottom w:val="single" w:sz="4" w:space="0" w:color="auto"/>
            </w:tcBorders>
          </w:tcPr>
          <w:p w14:paraId="0AE3D3BF" w14:textId="77777777" w:rsidR="00CB0BA0" w:rsidRPr="0032463C" w:rsidRDefault="00CB0BA0" w:rsidP="00A03329">
            <w:pPr>
              <w:jc w:val="both"/>
            </w:pPr>
            <w:r w:rsidRPr="0032463C">
              <w:t xml:space="preserve">- ukupni primici od financijske imovine i zaduživanja i izdaci za financijsku imovinu i otplate instrumenata zaduživanja prema ekonomskoj klasifikaciji na razini skupine </w:t>
            </w:r>
          </w:p>
          <w:p w14:paraId="613EFA29" w14:textId="77777777" w:rsidR="00CB0BA0" w:rsidRPr="0032463C" w:rsidRDefault="00CB0BA0" w:rsidP="00A03329">
            <w:pPr>
              <w:jc w:val="both"/>
            </w:pPr>
            <w:r w:rsidRPr="0032463C">
              <w:t xml:space="preserve">- ukupni primici od financijske imovine i zaduživanja i izdaci za financijsku imovinu i </w:t>
            </w:r>
            <w:r w:rsidRPr="0032463C">
              <w:lastRenderedPageBreak/>
              <w:t>otplate instrumenata zaduživanja prema izvorima financiranja</w:t>
            </w:r>
          </w:p>
        </w:tc>
      </w:tr>
      <w:tr w:rsidR="00CB0BA0" w14:paraId="36F69E3B" w14:textId="77777777" w:rsidTr="00A03329">
        <w:trPr>
          <w:trHeight w:val="432"/>
        </w:trPr>
        <w:tc>
          <w:tcPr>
            <w:tcW w:w="2405" w:type="dxa"/>
            <w:vMerge/>
          </w:tcPr>
          <w:p w14:paraId="24BB8BF5" w14:textId="77777777" w:rsidR="00CB0BA0" w:rsidRPr="0032463C" w:rsidRDefault="00CB0BA0" w:rsidP="00A03329">
            <w:pPr>
              <w:jc w:val="both"/>
            </w:pPr>
          </w:p>
        </w:tc>
        <w:tc>
          <w:tcPr>
            <w:tcW w:w="3827" w:type="dxa"/>
            <w:tcBorders>
              <w:bottom w:val="single" w:sz="4" w:space="0" w:color="auto"/>
            </w:tcBorders>
          </w:tcPr>
          <w:p w14:paraId="49F505BA" w14:textId="77777777" w:rsidR="00CB0BA0" w:rsidRPr="0032463C" w:rsidRDefault="00CB0BA0" w:rsidP="00D4217A">
            <w:r w:rsidRPr="0032463C">
              <w:t>Preneseni višak ili preneseni manjak prihoda nad rashodima</w:t>
            </w:r>
          </w:p>
        </w:tc>
        <w:tc>
          <w:tcPr>
            <w:tcW w:w="7716" w:type="dxa"/>
            <w:tcBorders>
              <w:bottom w:val="single" w:sz="4" w:space="0" w:color="auto"/>
            </w:tcBorders>
          </w:tcPr>
          <w:p w14:paraId="57E99499" w14:textId="77777777" w:rsidR="00CB0BA0" w:rsidRPr="0032463C" w:rsidRDefault="00CB0BA0" w:rsidP="00A03329">
            <w:pPr>
              <w:jc w:val="both"/>
            </w:pPr>
            <w:r w:rsidRPr="0032463C">
              <w:t>-ako ukupni prihodi i primici nisu jednaki ukupnim rashodima i izdacima, financijski plan sadrži i preneseni višak ili preneseni manjak prihoda nad rashodima</w:t>
            </w:r>
          </w:p>
        </w:tc>
      </w:tr>
      <w:tr w:rsidR="00CB0BA0" w14:paraId="0B915CEA" w14:textId="77777777" w:rsidTr="00A03329">
        <w:trPr>
          <w:trHeight w:val="516"/>
        </w:trPr>
        <w:tc>
          <w:tcPr>
            <w:tcW w:w="2405" w:type="dxa"/>
            <w:vMerge/>
          </w:tcPr>
          <w:p w14:paraId="2E20FF72" w14:textId="77777777" w:rsidR="00CB0BA0" w:rsidRPr="0032463C" w:rsidRDefault="00CB0BA0" w:rsidP="00A03329">
            <w:pPr>
              <w:jc w:val="both"/>
            </w:pPr>
          </w:p>
        </w:tc>
        <w:tc>
          <w:tcPr>
            <w:tcW w:w="3827" w:type="dxa"/>
            <w:tcBorders>
              <w:bottom w:val="single" w:sz="4" w:space="0" w:color="auto"/>
            </w:tcBorders>
          </w:tcPr>
          <w:p w14:paraId="42F4933A" w14:textId="77777777" w:rsidR="00CB0BA0" w:rsidRPr="0032463C" w:rsidRDefault="00CB0BA0" w:rsidP="00A03329">
            <w:pPr>
              <w:jc w:val="both"/>
            </w:pPr>
          </w:p>
          <w:p w14:paraId="3BC0F79B" w14:textId="77777777" w:rsidR="00CB0BA0" w:rsidRPr="0032463C" w:rsidRDefault="00CB0BA0" w:rsidP="00A03329">
            <w:pPr>
              <w:jc w:val="both"/>
            </w:pPr>
          </w:p>
          <w:p w14:paraId="74E7BF7C" w14:textId="77777777" w:rsidR="00CB0BA0" w:rsidRPr="0032463C" w:rsidRDefault="00CB0BA0" w:rsidP="00D4217A">
            <w:r w:rsidRPr="0032463C">
              <w:t>Višegodišnji plan uravnoteženja</w:t>
            </w:r>
          </w:p>
        </w:tc>
        <w:tc>
          <w:tcPr>
            <w:tcW w:w="7716" w:type="dxa"/>
            <w:tcBorders>
              <w:bottom w:val="single" w:sz="4" w:space="0" w:color="auto"/>
            </w:tcBorders>
          </w:tcPr>
          <w:p w14:paraId="79A9F181" w14:textId="77777777" w:rsidR="00CB0BA0" w:rsidRPr="0032463C" w:rsidRDefault="00CB0BA0" w:rsidP="00A03329">
            <w:pPr>
              <w:jc w:val="both"/>
            </w:pPr>
            <w:r w:rsidRPr="0032463C">
              <w:t xml:space="preserve">- ako proračunski korisnici ne mogu preneseni manjak podmiriti do kraja proračunske godine, obvezni su izraditi višegodišnji plan uravnoteženja za razdoblje za koje se financijski plan donosi </w:t>
            </w:r>
          </w:p>
          <w:p w14:paraId="07A2CCA4" w14:textId="77777777" w:rsidR="00CB0BA0" w:rsidRPr="0032463C" w:rsidRDefault="00CB0BA0" w:rsidP="00A03329">
            <w:pPr>
              <w:jc w:val="both"/>
            </w:pPr>
            <w:r w:rsidRPr="0032463C">
              <w:t>- ako proračunski korisnici ne mogu preneseni višak, zbog njegove veličine, u cijelosti iskoristiti u jednoj proračunskoj godini, korištenje viška planira se višegodišnjim planom uravnoteženja za razdoblje za koje se financijski plan donosi</w:t>
            </w:r>
          </w:p>
        </w:tc>
      </w:tr>
      <w:tr w:rsidR="00CB0BA0" w14:paraId="087582A4" w14:textId="77777777" w:rsidTr="00A03329">
        <w:tc>
          <w:tcPr>
            <w:tcW w:w="2405" w:type="dxa"/>
          </w:tcPr>
          <w:p w14:paraId="62A62C5C" w14:textId="77777777" w:rsidR="00CB0BA0" w:rsidRPr="0032463C" w:rsidRDefault="00CB0BA0" w:rsidP="00A03329">
            <w:pPr>
              <w:jc w:val="both"/>
            </w:pPr>
            <w:r w:rsidRPr="0032463C">
              <w:t>Posebni dio financijskog plana</w:t>
            </w:r>
          </w:p>
        </w:tc>
        <w:tc>
          <w:tcPr>
            <w:tcW w:w="3827" w:type="dxa"/>
            <w:tcBorders>
              <w:top w:val="single" w:sz="4" w:space="0" w:color="auto"/>
            </w:tcBorders>
          </w:tcPr>
          <w:p w14:paraId="1C00BDD6" w14:textId="77777777" w:rsidR="00CB0BA0" w:rsidRPr="0032463C" w:rsidRDefault="00CB0BA0" w:rsidP="00A03329">
            <w:pPr>
              <w:jc w:val="both"/>
            </w:pPr>
            <w:r w:rsidRPr="0032463C">
              <w:t>Plan rashoda i izdataka proračunskih korisnika</w:t>
            </w:r>
          </w:p>
        </w:tc>
        <w:tc>
          <w:tcPr>
            <w:tcW w:w="7716" w:type="dxa"/>
            <w:tcBorders>
              <w:top w:val="single" w:sz="4" w:space="0" w:color="auto"/>
            </w:tcBorders>
          </w:tcPr>
          <w:p w14:paraId="637F6A3F" w14:textId="77777777" w:rsidR="00CB0BA0" w:rsidRDefault="00CB0BA0" w:rsidP="00A03329">
            <w:pPr>
              <w:jc w:val="both"/>
            </w:pPr>
            <w:r w:rsidRPr="0032463C">
              <w:t>- rashodi i izdaci iskazani po izvorima financiranja i ekonomskoj klasifikaciji na razini skupine, raspoređeni u programe koji se sastoje od aktivnosti i projekata</w:t>
            </w:r>
          </w:p>
          <w:p w14:paraId="2A1BD2DF" w14:textId="77777777" w:rsidR="00CB0BA0" w:rsidRPr="0032463C" w:rsidRDefault="00CB0BA0" w:rsidP="00A03329">
            <w:pPr>
              <w:jc w:val="both"/>
            </w:pPr>
          </w:p>
        </w:tc>
      </w:tr>
      <w:tr w:rsidR="00CB0BA0" w14:paraId="6028B313" w14:textId="77777777" w:rsidTr="00A03329">
        <w:tc>
          <w:tcPr>
            <w:tcW w:w="2405" w:type="dxa"/>
          </w:tcPr>
          <w:p w14:paraId="1F2187F3" w14:textId="77777777" w:rsidR="00CB0BA0" w:rsidRPr="0032463C" w:rsidRDefault="00CB0BA0" w:rsidP="00A03329">
            <w:pPr>
              <w:jc w:val="both"/>
            </w:pPr>
            <w:r w:rsidRPr="0032463C">
              <w:t>Obrazloženje financijskog plana</w:t>
            </w:r>
          </w:p>
        </w:tc>
        <w:tc>
          <w:tcPr>
            <w:tcW w:w="3827" w:type="dxa"/>
          </w:tcPr>
          <w:p w14:paraId="64693BDC" w14:textId="77777777" w:rsidR="00CB0BA0" w:rsidRPr="0032463C" w:rsidRDefault="00CB0BA0" w:rsidP="00D4217A">
            <w:r w:rsidRPr="0032463C">
              <w:t>Obrazloženje općeg dijela i obrazloženje posebnog dijela financijskog plana</w:t>
            </w:r>
          </w:p>
        </w:tc>
        <w:tc>
          <w:tcPr>
            <w:tcW w:w="7716" w:type="dxa"/>
          </w:tcPr>
          <w:p w14:paraId="342A44CF" w14:textId="77777777" w:rsidR="00CB0BA0" w:rsidRPr="0032463C" w:rsidRDefault="00CB0BA0" w:rsidP="00A03329">
            <w:pPr>
              <w:jc w:val="both"/>
            </w:pPr>
            <w:r w:rsidRPr="0032463C">
              <w:t xml:space="preserve">- obrazloženje općeg dijela financijskog plana sadrži obrazloženje prihoda i rashoda, primitaka i izdataka te obrazloženje prenesenog manjka odnosno viška financijskog plana </w:t>
            </w:r>
          </w:p>
          <w:p w14:paraId="549E8387" w14:textId="77777777" w:rsidR="00CB0BA0" w:rsidRPr="0032463C" w:rsidRDefault="00CB0BA0" w:rsidP="00A03329">
            <w:pPr>
              <w:jc w:val="both"/>
            </w:pPr>
            <w:r w:rsidRPr="0032463C">
              <w:t>- obrazloženje posebnog dijela financijskog plana sastoji se od obrazloženja programa koje se daje kroz obrazloženje aktivnosti i projekata zajedno s ciljevima i pokazateljima uspješnosti</w:t>
            </w:r>
          </w:p>
        </w:tc>
      </w:tr>
    </w:tbl>
    <w:p w14:paraId="3B80B872" w14:textId="77777777" w:rsidR="00D67DFE" w:rsidRDefault="00D67DFE" w:rsidP="00D67DFE">
      <w:pPr>
        <w:jc w:val="both"/>
      </w:pPr>
    </w:p>
    <w:p w14:paraId="00928A74" w14:textId="031443FB" w:rsidR="00D67DFE" w:rsidRDefault="00D67DFE" w:rsidP="00D67DFE">
      <w:pPr>
        <w:ind w:firstLine="708"/>
        <w:jc w:val="both"/>
      </w:pPr>
      <w:r>
        <w:t>Ovim uputama kako to nalaže Zakon o fiskalnoj odgovornosti određuju se limiti u apsolutnim iznosima koje je proračunski korisnik dužan razraditi u svojim financijskim planovima. Dakle, iznos koji je određen za financiranje proračunskog korisnika u svojem financijskom planu potrebno je raspodijeliti na programe, aktivnosti i projekte.</w:t>
      </w:r>
    </w:p>
    <w:p w14:paraId="249F9DD6" w14:textId="77777777" w:rsidR="00D67DFE" w:rsidRDefault="00D67DFE" w:rsidP="00D67DFE">
      <w:pPr>
        <w:jc w:val="both"/>
      </w:pPr>
    </w:p>
    <w:p w14:paraId="250A6EE0" w14:textId="2348902E" w:rsidR="00D67DFE" w:rsidRPr="004B5E07" w:rsidRDefault="004B5E07" w:rsidP="004B5E07">
      <w:pPr>
        <w:pStyle w:val="Naslov2"/>
        <w:rPr>
          <w:b/>
          <w:bCs/>
          <w:szCs w:val="24"/>
          <w:lang w:val="hr-HR" w:eastAsia="hr-HR"/>
        </w:rPr>
      </w:pPr>
      <w:bookmarkStart w:id="14" w:name="_Toc211859973"/>
      <w:r w:rsidRPr="004B5E07">
        <w:rPr>
          <w:b/>
          <w:bCs/>
        </w:rPr>
        <w:t xml:space="preserve">4.5. </w:t>
      </w:r>
      <w:r w:rsidR="00D67DFE" w:rsidRPr="004B5E07">
        <w:rPr>
          <w:b/>
          <w:bCs/>
        </w:rPr>
        <w:t>P</w:t>
      </w:r>
      <w:r>
        <w:rPr>
          <w:b/>
          <w:bCs/>
        </w:rPr>
        <w:t>roračunski korisnik</w:t>
      </w:r>
      <w:bookmarkEnd w:id="14"/>
    </w:p>
    <w:p w14:paraId="1C4C4425" w14:textId="0EFFA816" w:rsidR="00D67DFE" w:rsidRPr="002D22B1" w:rsidRDefault="00D67DFE" w:rsidP="00D67DFE">
      <w:pPr>
        <w:jc w:val="both"/>
        <w:rPr>
          <w:b/>
          <w:bCs/>
        </w:rPr>
      </w:pPr>
      <w:r w:rsidRPr="00D8481E">
        <w:rPr>
          <w:b/>
          <w:bCs/>
        </w:rPr>
        <w:t>DJEČJI VRTIĆ</w:t>
      </w:r>
      <w:r>
        <w:rPr>
          <w:b/>
          <w:bCs/>
        </w:rPr>
        <w:t xml:space="preserve"> JUREK</w:t>
      </w:r>
      <w:r w:rsidRPr="00D8481E">
        <w:rPr>
          <w:b/>
          <w:bCs/>
        </w:rPr>
        <w:t xml:space="preserve">  </w:t>
      </w:r>
    </w:p>
    <w:p w14:paraId="1E6ABA5F" w14:textId="77777777" w:rsidR="00D67DFE" w:rsidRDefault="00D67DFE" w:rsidP="00D67DFE">
      <w:pPr>
        <w:jc w:val="both"/>
      </w:pPr>
    </w:p>
    <w:p w14:paraId="19F82737" w14:textId="7F23E08F" w:rsidR="00D67DFE" w:rsidRPr="005F6B37" w:rsidRDefault="00D67DFE" w:rsidP="00D67DFE">
      <w:pPr>
        <w:ind w:firstLine="708"/>
        <w:jc w:val="both"/>
      </w:pPr>
      <w:r w:rsidRPr="00B52286">
        <w:t xml:space="preserve">Financijski plan </w:t>
      </w:r>
      <w:r>
        <w:t xml:space="preserve">proračunskog </w:t>
      </w:r>
      <w:r w:rsidRPr="00B52286">
        <w:t>korisnika treba biti uravnotežen. Odgovorna osoba proračunskog korisnika odgovorna je za zakonito i pravilno planiranje i izvršavanje financijskog plana.</w:t>
      </w:r>
      <w:r>
        <w:t xml:space="preserve"> </w:t>
      </w:r>
    </w:p>
    <w:p w14:paraId="2C2D5FD2" w14:textId="77777777" w:rsidR="000E56A0" w:rsidRDefault="000E56A0" w:rsidP="000E56A0">
      <w:pPr>
        <w:widowControl w:val="0"/>
        <w:autoSpaceDE w:val="0"/>
        <w:autoSpaceDN w:val="0"/>
        <w:spacing w:before="90"/>
        <w:ind w:right="517"/>
        <w:jc w:val="both"/>
      </w:pPr>
    </w:p>
    <w:p w14:paraId="5E59FF96" w14:textId="529EABB0" w:rsidR="000E56A0" w:rsidRDefault="000E56A0" w:rsidP="000E56A0">
      <w:pPr>
        <w:widowControl w:val="0"/>
        <w:autoSpaceDE w:val="0"/>
        <w:autoSpaceDN w:val="0"/>
        <w:spacing w:before="90"/>
        <w:ind w:right="517" w:firstLine="708"/>
        <w:jc w:val="both"/>
      </w:pPr>
      <w:r>
        <w:t>U</w:t>
      </w:r>
      <w:r w:rsidRPr="006F7E60">
        <w:t xml:space="preserve"> nastavku se daje tabelarni prikaz odobrenih limita za</w:t>
      </w:r>
      <w:r w:rsidRPr="006F7E60">
        <w:rPr>
          <w:spacing w:val="1"/>
        </w:rPr>
        <w:t xml:space="preserve"> </w:t>
      </w:r>
      <w:r w:rsidRPr="006F7E60">
        <w:t>proračunskog korisnika Dječji vrtić Jurek</w:t>
      </w:r>
      <w:r>
        <w:t>:</w:t>
      </w:r>
    </w:p>
    <w:p w14:paraId="61C2E292" w14:textId="77777777" w:rsidR="000E56A0" w:rsidRDefault="000E56A0" w:rsidP="000E56A0">
      <w:pPr>
        <w:widowControl w:val="0"/>
        <w:autoSpaceDE w:val="0"/>
        <w:autoSpaceDN w:val="0"/>
        <w:spacing w:before="90"/>
        <w:ind w:right="517"/>
        <w:jc w:val="both"/>
      </w:pPr>
    </w:p>
    <w:p w14:paraId="62844808" w14:textId="77777777" w:rsidR="000E56A0" w:rsidRDefault="000E56A0" w:rsidP="000E56A0">
      <w:pPr>
        <w:widowControl w:val="0"/>
        <w:autoSpaceDE w:val="0"/>
        <w:autoSpaceDN w:val="0"/>
        <w:spacing w:before="90"/>
        <w:ind w:right="517"/>
        <w:jc w:val="both"/>
      </w:pPr>
    </w:p>
    <w:p w14:paraId="457CB698" w14:textId="40B8A731" w:rsidR="000E56A0" w:rsidRPr="00214306" w:rsidRDefault="000E56A0" w:rsidP="000E56A0">
      <w:pPr>
        <w:widowControl w:val="0"/>
        <w:autoSpaceDE w:val="0"/>
        <w:autoSpaceDN w:val="0"/>
        <w:spacing w:before="90"/>
        <w:ind w:right="517"/>
        <w:jc w:val="both"/>
        <w:rPr>
          <w:b/>
          <w:bCs/>
        </w:rPr>
      </w:pPr>
      <w:r w:rsidRPr="00214306">
        <w:rPr>
          <w:b/>
          <w:bCs/>
        </w:rPr>
        <w:lastRenderedPageBreak/>
        <w:t xml:space="preserve">Tablica </w:t>
      </w:r>
      <w:r w:rsidR="00990D28" w:rsidRPr="00214306">
        <w:rPr>
          <w:b/>
          <w:bCs/>
        </w:rPr>
        <w:t>4</w:t>
      </w:r>
      <w:r w:rsidRPr="00214306">
        <w:rPr>
          <w:b/>
          <w:bCs/>
        </w:rPr>
        <w:t>: Okvirni prijedlog visine financijskog plana DV Jurek 2026.-2028.</w:t>
      </w:r>
    </w:p>
    <w:tbl>
      <w:tblPr>
        <w:tblStyle w:val="TableNormal"/>
        <w:tblW w:w="1019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747"/>
        <w:gridCol w:w="1933"/>
        <w:gridCol w:w="2399"/>
        <w:gridCol w:w="2550"/>
      </w:tblGrid>
      <w:tr w:rsidR="000E56A0" w:rsidRPr="00864BC2" w14:paraId="4F9CBDA3" w14:textId="77777777" w:rsidTr="000C4FDB">
        <w:trPr>
          <w:trHeight w:val="1146"/>
        </w:trPr>
        <w:tc>
          <w:tcPr>
            <w:tcW w:w="1565" w:type="dxa"/>
          </w:tcPr>
          <w:p w14:paraId="7FABE302" w14:textId="77777777" w:rsidR="000E56A0" w:rsidRPr="00864BC2" w:rsidRDefault="000E56A0" w:rsidP="00F81689">
            <w:pPr>
              <w:ind w:left="112"/>
              <w:jc w:val="both"/>
              <w:rPr>
                <w:b/>
                <w:lang w:val="bs" w:eastAsia="en-US"/>
              </w:rPr>
            </w:pPr>
            <w:r w:rsidRPr="00864BC2">
              <w:rPr>
                <w:b/>
                <w:lang w:val="bs" w:eastAsia="en-US"/>
              </w:rPr>
              <w:t>RKP</w:t>
            </w:r>
          </w:p>
        </w:tc>
        <w:tc>
          <w:tcPr>
            <w:tcW w:w="1747" w:type="dxa"/>
          </w:tcPr>
          <w:p w14:paraId="0030C309" w14:textId="77777777" w:rsidR="000E56A0" w:rsidRPr="00864BC2" w:rsidRDefault="000E56A0" w:rsidP="00F81689">
            <w:pPr>
              <w:ind w:left="220" w:right="198" w:hanging="6"/>
              <w:jc w:val="both"/>
              <w:rPr>
                <w:b/>
                <w:lang w:val="bs" w:eastAsia="en-US"/>
              </w:rPr>
            </w:pPr>
            <w:r w:rsidRPr="00864BC2">
              <w:rPr>
                <w:b/>
                <w:lang w:val="bs" w:eastAsia="en-US"/>
              </w:rPr>
              <w:t>Proračunski</w:t>
            </w:r>
            <w:r w:rsidRPr="00864BC2">
              <w:rPr>
                <w:b/>
                <w:spacing w:val="1"/>
                <w:lang w:val="bs" w:eastAsia="en-US"/>
              </w:rPr>
              <w:t xml:space="preserve"> </w:t>
            </w:r>
            <w:r w:rsidRPr="00864BC2">
              <w:rPr>
                <w:b/>
                <w:spacing w:val="-1"/>
                <w:lang w:val="bs" w:eastAsia="en-US"/>
              </w:rPr>
              <w:t xml:space="preserve">korisnik </w:t>
            </w:r>
            <w:r w:rsidRPr="00864BC2">
              <w:rPr>
                <w:b/>
                <w:lang w:val="bs" w:eastAsia="en-US"/>
              </w:rPr>
              <w:t>Općine Gornja Stubica</w:t>
            </w:r>
          </w:p>
        </w:tc>
        <w:tc>
          <w:tcPr>
            <w:tcW w:w="1933" w:type="dxa"/>
          </w:tcPr>
          <w:p w14:paraId="69B6D4C2" w14:textId="77777777" w:rsidR="000E56A0" w:rsidRPr="00864BC2" w:rsidRDefault="000E56A0" w:rsidP="00F81689">
            <w:pPr>
              <w:jc w:val="both"/>
              <w:rPr>
                <w:i/>
                <w:lang w:val="bs" w:eastAsia="en-US"/>
              </w:rPr>
            </w:pPr>
          </w:p>
          <w:p w14:paraId="260D01ED" w14:textId="6329445E" w:rsidR="000E56A0" w:rsidRPr="00864BC2" w:rsidRDefault="000E56A0" w:rsidP="00F81689">
            <w:pPr>
              <w:ind w:left="113"/>
              <w:jc w:val="both"/>
              <w:rPr>
                <w:b/>
                <w:lang w:val="bs" w:eastAsia="en-US"/>
              </w:rPr>
            </w:pPr>
            <w:r w:rsidRPr="00864BC2">
              <w:rPr>
                <w:b/>
                <w:lang w:val="bs" w:eastAsia="en-US"/>
              </w:rPr>
              <w:t>Prijedlog 202</w:t>
            </w:r>
            <w:r>
              <w:rPr>
                <w:b/>
                <w:lang w:val="bs" w:eastAsia="en-US"/>
              </w:rPr>
              <w:t>6</w:t>
            </w:r>
            <w:r w:rsidRPr="00864BC2">
              <w:rPr>
                <w:b/>
                <w:lang w:val="bs" w:eastAsia="en-US"/>
              </w:rPr>
              <w:t xml:space="preserve">. </w:t>
            </w:r>
          </w:p>
        </w:tc>
        <w:tc>
          <w:tcPr>
            <w:tcW w:w="2399" w:type="dxa"/>
          </w:tcPr>
          <w:p w14:paraId="5C0FB517" w14:textId="77777777" w:rsidR="000E56A0" w:rsidRPr="00864BC2" w:rsidRDefault="000E56A0" w:rsidP="00F81689">
            <w:pPr>
              <w:jc w:val="both"/>
              <w:rPr>
                <w:i/>
                <w:lang w:val="bs" w:eastAsia="en-US"/>
              </w:rPr>
            </w:pPr>
          </w:p>
          <w:p w14:paraId="61A324F2" w14:textId="0634A2DD" w:rsidR="000E56A0" w:rsidRPr="00864BC2" w:rsidRDefault="000E56A0" w:rsidP="00F81689">
            <w:pPr>
              <w:ind w:left="603"/>
              <w:jc w:val="both"/>
              <w:rPr>
                <w:b/>
                <w:lang w:val="bs" w:eastAsia="en-US"/>
              </w:rPr>
            </w:pPr>
            <w:r w:rsidRPr="00864BC2">
              <w:rPr>
                <w:b/>
                <w:lang w:val="bs" w:eastAsia="en-US"/>
              </w:rPr>
              <w:t>Prijedlog 202</w:t>
            </w:r>
            <w:r>
              <w:rPr>
                <w:b/>
                <w:lang w:val="bs" w:eastAsia="en-US"/>
              </w:rPr>
              <w:t>7</w:t>
            </w:r>
            <w:r w:rsidRPr="00864BC2">
              <w:rPr>
                <w:b/>
                <w:lang w:val="bs" w:eastAsia="en-US"/>
              </w:rPr>
              <w:t>.</w:t>
            </w:r>
          </w:p>
          <w:p w14:paraId="4ACD3FD7" w14:textId="77777777" w:rsidR="000E56A0" w:rsidRPr="00864BC2" w:rsidRDefault="000E56A0" w:rsidP="00F81689">
            <w:pPr>
              <w:ind w:left="603"/>
              <w:jc w:val="both"/>
              <w:rPr>
                <w:b/>
                <w:lang w:val="bs" w:eastAsia="en-US"/>
              </w:rPr>
            </w:pPr>
          </w:p>
        </w:tc>
        <w:tc>
          <w:tcPr>
            <w:tcW w:w="2550" w:type="dxa"/>
          </w:tcPr>
          <w:p w14:paraId="3F16F279" w14:textId="77777777" w:rsidR="000E56A0" w:rsidRPr="00864BC2" w:rsidRDefault="000E56A0" w:rsidP="00F81689">
            <w:pPr>
              <w:jc w:val="both"/>
              <w:rPr>
                <w:i/>
                <w:lang w:val="bs" w:eastAsia="en-US"/>
              </w:rPr>
            </w:pPr>
          </w:p>
          <w:p w14:paraId="6E60DDDA" w14:textId="62C4B25C" w:rsidR="000E56A0" w:rsidRPr="00864BC2" w:rsidRDefault="000E56A0" w:rsidP="00F81689">
            <w:pPr>
              <w:ind w:left="889"/>
              <w:jc w:val="both"/>
              <w:rPr>
                <w:b/>
                <w:lang w:val="bs" w:eastAsia="en-US"/>
              </w:rPr>
            </w:pPr>
            <w:r w:rsidRPr="00864BC2">
              <w:rPr>
                <w:b/>
                <w:lang w:val="bs" w:eastAsia="en-US"/>
              </w:rPr>
              <w:t>Prijedlog 202</w:t>
            </w:r>
            <w:r>
              <w:rPr>
                <w:b/>
                <w:lang w:val="bs" w:eastAsia="en-US"/>
              </w:rPr>
              <w:t>8</w:t>
            </w:r>
            <w:r w:rsidRPr="00864BC2">
              <w:rPr>
                <w:b/>
                <w:lang w:val="bs" w:eastAsia="en-US"/>
              </w:rPr>
              <w:t>.</w:t>
            </w:r>
          </w:p>
          <w:p w14:paraId="152BE27E" w14:textId="77777777" w:rsidR="000E56A0" w:rsidRPr="00864BC2" w:rsidRDefault="000E56A0" w:rsidP="00F81689">
            <w:pPr>
              <w:ind w:left="889"/>
              <w:jc w:val="both"/>
              <w:rPr>
                <w:b/>
                <w:lang w:val="bs" w:eastAsia="en-US"/>
              </w:rPr>
            </w:pPr>
          </w:p>
        </w:tc>
      </w:tr>
      <w:tr w:rsidR="000E56A0" w:rsidRPr="00864BC2" w14:paraId="009FF00E" w14:textId="77777777" w:rsidTr="000C4FDB">
        <w:trPr>
          <w:trHeight w:val="626"/>
        </w:trPr>
        <w:tc>
          <w:tcPr>
            <w:tcW w:w="1565" w:type="dxa"/>
          </w:tcPr>
          <w:p w14:paraId="4B23E317" w14:textId="77777777" w:rsidR="000E56A0" w:rsidRPr="00864BC2" w:rsidRDefault="000E56A0" w:rsidP="00F81689">
            <w:pPr>
              <w:spacing w:before="11"/>
              <w:jc w:val="both"/>
              <w:rPr>
                <w:i/>
                <w:lang w:val="bs" w:eastAsia="en-US"/>
              </w:rPr>
            </w:pPr>
          </w:p>
          <w:p w14:paraId="3ACBD122" w14:textId="77777777" w:rsidR="000E56A0" w:rsidRPr="00864BC2" w:rsidRDefault="000E56A0" w:rsidP="00F81689">
            <w:pPr>
              <w:jc w:val="both"/>
              <w:rPr>
                <w:lang w:val="bs" w:eastAsia="en-US"/>
              </w:rPr>
            </w:pPr>
            <w:r w:rsidRPr="00864BC2">
              <w:rPr>
                <w:lang w:val="bs" w:eastAsia="en-US"/>
              </w:rPr>
              <w:t>52276</w:t>
            </w:r>
          </w:p>
        </w:tc>
        <w:tc>
          <w:tcPr>
            <w:tcW w:w="1747" w:type="dxa"/>
          </w:tcPr>
          <w:p w14:paraId="3822CEC8" w14:textId="77777777" w:rsidR="000E56A0" w:rsidRPr="00864BC2" w:rsidRDefault="000E56A0" w:rsidP="00F81689">
            <w:pPr>
              <w:spacing w:before="10"/>
              <w:jc w:val="both"/>
              <w:rPr>
                <w:i/>
                <w:lang w:val="bs" w:eastAsia="en-US"/>
              </w:rPr>
            </w:pPr>
          </w:p>
          <w:p w14:paraId="2A63A8CC" w14:textId="77777777" w:rsidR="000E56A0" w:rsidRPr="00864BC2" w:rsidRDefault="000E56A0" w:rsidP="00F81689">
            <w:pPr>
              <w:ind w:left="112" w:right="470"/>
              <w:jc w:val="both"/>
              <w:rPr>
                <w:lang w:val="bs" w:eastAsia="en-US"/>
              </w:rPr>
            </w:pPr>
            <w:r w:rsidRPr="00864BC2">
              <w:rPr>
                <w:lang w:val="bs" w:eastAsia="en-US"/>
              </w:rPr>
              <w:t>Dječji vrtić Jurek</w:t>
            </w:r>
          </w:p>
        </w:tc>
        <w:tc>
          <w:tcPr>
            <w:tcW w:w="1933" w:type="dxa"/>
          </w:tcPr>
          <w:p w14:paraId="4C4F614A" w14:textId="77777777" w:rsidR="000E56A0" w:rsidRPr="00864BC2" w:rsidRDefault="000E56A0" w:rsidP="00F81689">
            <w:pPr>
              <w:spacing w:before="2"/>
              <w:jc w:val="both"/>
              <w:rPr>
                <w:i/>
                <w:lang w:val="bs" w:eastAsia="en-US"/>
              </w:rPr>
            </w:pPr>
          </w:p>
          <w:p w14:paraId="1C544327" w14:textId="7E2E02B3" w:rsidR="000E56A0" w:rsidRPr="00864BC2" w:rsidRDefault="000E56A0" w:rsidP="00F81689">
            <w:pPr>
              <w:ind w:right="87"/>
              <w:jc w:val="both"/>
              <w:rPr>
                <w:lang w:val="bs" w:eastAsia="en-US"/>
              </w:rPr>
            </w:pPr>
            <w:r>
              <w:rPr>
                <w:lang w:val="bs" w:eastAsia="en-US"/>
              </w:rPr>
              <w:t xml:space="preserve">         750.000,00 €</w:t>
            </w:r>
            <w:r w:rsidRPr="00864BC2">
              <w:rPr>
                <w:lang w:val="bs" w:eastAsia="en-US"/>
              </w:rPr>
              <w:t xml:space="preserve"> </w:t>
            </w:r>
          </w:p>
          <w:p w14:paraId="67A0FEE4" w14:textId="77777777" w:rsidR="000E56A0" w:rsidRPr="00864BC2" w:rsidRDefault="000E56A0" w:rsidP="00F81689">
            <w:pPr>
              <w:ind w:right="87"/>
              <w:jc w:val="both"/>
              <w:rPr>
                <w:lang w:val="bs" w:eastAsia="en-US"/>
              </w:rPr>
            </w:pPr>
          </w:p>
        </w:tc>
        <w:tc>
          <w:tcPr>
            <w:tcW w:w="2399" w:type="dxa"/>
          </w:tcPr>
          <w:p w14:paraId="265F54DC" w14:textId="77777777" w:rsidR="000E56A0" w:rsidRPr="00864BC2" w:rsidRDefault="000E56A0" w:rsidP="00F81689">
            <w:pPr>
              <w:spacing w:before="2"/>
              <w:jc w:val="both"/>
              <w:rPr>
                <w:i/>
                <w:lang w:val="bs" w:eastAsia="en-US"/>
              </w:rPr>
            </w:pPr>
          </w:p>
          <w:p w14:paraId="32474235" w14:textId="6AA0F4EF" w:rsidR="000E56A0" w:rsidRPr="00864BC2" w:rsidRDefault="000E56A0" w:rsidP="00F81689">
            <w:pPr>
              <w:ind w:right="87"/>
              <w:jc w:val="both"/>
              <w:rPr>
                <w:lang w:val="bs" w:eastAsia="en-US"/>
              </w:rPr>
            </w:pPr>
            <w:r>
              <w:rPr>
                <w:lang w:val="bs" w:eastAsia="en-US"/>
              </w:rPr>
              <w:t xml:space="preserve">                 750.000,00 €</w:t>
            </w:r>
            <w:r w:rsidRPr="00864BC2">
              <w:rPr>
                <w:lang w:val="bs" w:eastAsia="en-US"/>
              </w:rPr>
              <w:t xml:space="preserve"> </w:t>
            </w:r>
          </w:p>
          <w:p w14:paraId="72C3AD43" w14:textId="77777777" w:rsidR="000E56A0" w:rsidRPr="00864BC2" w:rsidRDefault="000E56A0" w:rsidP="00F81689">
            <w:pPr>
              <w:ind w:left="840"/>
              <w:jc w:val="both"/>
              <w:rPr>
                <w:lang w:val="bs" w:eastAsia="en-US"/>
              </w:rPr>
            </w:pPr>
          </w:p>
        </w:tc>
        <w:tc>
          <w:tcPr>
            <w:tcW w:w="2550" w:type="dxa"/>
          </w:tcPr>
          <w:p w14:paraId="57DAE484" w14:textId="77777777" w:rsidR="000E56A0" w:rsidRDefault="000E56A0" w:rsidP="00F81689">
            <w:pPr>
              <w:ind w:right="87"/>
              <w:jc w:val="both"/>
              <w:rPr>
                <w:lang w:val="bs" w:eastAsia="en-US"/>
              </w:rPr>
            </w:pPr>
          </w:p>
          <w:p w14:paraId="037D7B7E" w14:textId="4F3A2E6B" w:rsidR="000E56A0" w:rsidRPr="00864BC2" w:rsidRDefault="000E56A0" w:rsidP="00F81689">
            <w:pPr>
              <w:ind w:right="87"/>
              <w:jc w:val="both"/>
              <w:rPr>
                <w:lang w:val="bs" w:eastAsia="en-US"/>
              </w:rPr>
            </w:pPr>
            <w:r>
              <w:rPr>
                <w:lang w:val="bs" w:eastAsia="en-US"/>
              </w:rPr>
              <w:t xml:space="preserve">                    750.000,00 €</w:t>
            </w:r>
            <w:r w:rsidRPr="00864BC2">
              <w:rPr>
                <w:lang w:val="bs" w:eastAsia="en-US"/>
              </w:rPr>
              <w:t xml:space="preserve"> </w:t>
            </w:r>
          </w:p>
          <w:p w14:paraId="7FF73496" w14:textId="77777777" w:rsidR="000E56A0" w:rsidRPr="00864BC2" w:rsidRDefault="000E56A0" w:rsidP="00F81689">
            <w:pPr>
              <w:spacing w:before="2"/>
              <w:jc w:val="both"/>
              <w:rPr>
                <w:i/>
                <w:lang w:val="bs" w:eastAsia="en-US"/>
              </w:rPr>
            </w:pPr>
          </w:p>
          <w:p w14:paraId="49A957F3" w14:textId="77777777" w:rsidR="000E56A0" w:rsidRPr="00864BC2" w:rsidRDefault="000E56A0" w:rsidP="00F81689">
            <w:pPr>
              <w:ind w:left="1321"/>
              <w:jc w:val="both"/>
              <w:rPr>
                <w:lang w:val="bs" w:eastAsia="en-US"/>
              </w:rPr>
            </w:pPr>
          </w:p>
        </w:tc>
      </w:tr>
      <w:tr w:rsidR="000E56A0" w:rsidRPr="00864BC2" w14:paraId="388C6D83" w14:textId="77777777" w:rsidTr="000C4FDB">
        <w:trPr>
          <w:trHeight w:val="626"/>
        </w:trPr>
        <w:tc>
          <w:tcPr>
            <w:tcW w:w="1565" w:type="dxa"/>
          </w:tcPr>
          <w:p w14:paraId="73B2630B" w14:textId="65726DF6" w:rsidR="000E56A0" w:rsidRPr="00864BC2" w:rsidRDefault="000E56A0" w:rsidP="00F81689">
            <w:pPr>
              <w:spacing w:before="11"/>
              <w:jc w:val="both"/>
              <w:rPr>
                <w:i/>
                <w:lang w:val="bs" w:eastAsia="en-US"/>
              </w:rPr>
            </w:pPr>
            <w:r>
              <w:rPr>
                <w:i/>
                <w:lang w:val="bs" w:eastAsia="en-US"/>
              </w:rPr>
              <w:t>1.limit</w:t>
            </w:r>
          </w:p>
        </w:tc>
        <w:tc>
          <w:tcPr>
            <w:tcW w:w="1747" w:type="dxa"/>
          </w:tcPr>
          <w:p w14:paraId="1D8EA19F" w14:textId="02F91A09" w:rsidR="000E56A0" w:rsidRPr="00864BC2" w:rsidRDefault="000E56A0" w:rsidP="00F81689">
            <w:pPr>
              <w:spacing w:before="10"/>
              <w:jc w:val="both"/>
              <w:rPr>
                <w:i/>
                <w:lang w:val="bs" w:eastAsia="en-US"/>
              </w:rPr>
            </w:pPr>
            <w:r>
              <w:rPr>
                <w:i/>
                <w:lang w:val="bs" w:eastAsia="en-US"/>
              </w:rPr>
              <w:t>Dječji vrtić Jurek</w:t>
            </w:r>
          </w:p>
        </w:tc>
        <w:tc>
          <w:tcPr>
            <w:tcW w:w="1933" w:type="dxa"/>
          </w:tcPr>
          <w:p w14:paraId="03DB17B9" w14:textId="1F3260AF" w:rsidR="000E56A0" w:rsidRPr="00864BC2" w:rsidRDefault="000E56A0" w:rsidP="000E56A0">
            <w:pPr>
              <w:spacing w:before="2"/>
              <w:jc w:val="center"/>
              <w:rPr>
                <w:i/>
                <w:lang w:val="bs" w:eastAsia="en-US"/>
              </w:rPr>
            </w:pPr>
            <w:r>
              <w:rPr>
                <w:i/>
                <w:lang w:val="bs" w:eastAsia="en-US"/>
              </w:rPr>
              <w:t xml:space="preserve">         7</w:t>
            </w:r>
            <w:r w:rsidR="00547ADC">
              <w:rPr>
                <w:i/>
                <w:lang w:val="bs" w:eastAsia="en-US"/>
              </w:rPr>
              <w:t>5</w:t>
            </w:r>
            <w:r>
              <w:rPr>
                <w:i/>
                <w:lang w:val="bs" w:eastAsia="en-US"/>
              </w:rPr>
              <w:t>0.000,00 €</w:t>
            </w:r>
          </w:p>
        </w:tc>
        <w:tc>
          <w:tcPr>
            <w:tcW w:w="2399" w:type="dxa"/>
          </w:tcPr>
          <w:p w14:paraId="0729C836" w14:textId="0FD3D1A1" w:rsidR="000E56A0" w:rsidRPr="00864BC2" w:rsidRDefault="000E56A0" w:rsidP="00F81689">
            <w:pPr>
              <w:spacing w:before="2"/>
              <w:jc w:val="both"/>
              <w:rPr>
                <w:i/>
                <w:lang w:val="bs" w:eastAsia="en-US"/>
              </w:rPr>
            </w:pPr>
            <w:r>
              <w:rPr>
                <w:i/>
                <w:lang w:val="bs" w:eastAsia="en-US"/>
              </w:rPr>
              <w:t xml:space="preserve">                 7</w:t>
            </w:r>
            <w:r w:rsidR="00547ADC">
              <w:rPr>
                <w:i/>
                <w:lang w:val="bs" w:eastAsia="en-US"/>
              </w:rPr>
              <w:t>5</w:t>
            </w:r>
            <w:r>
              <w:rPr>
                <w:i/>
                <w:lang w:val="bs" w:eastAsia="en-US"/>
              </w:rPr>
              <w:t>0.000,00 €</w:t>
            </w:r>
          </w:p>
        </w:tc>
        <w:tc>
          <w:tcPr>
            <w:tcW w:w="2550" w:type="dxa"/>
          </w:tcPr>
          <w:p w14:paraId="68F27557" w14:textId="2DB9E74F" w:rsidR="000E56A0" w:rsidRPr="000E56A0" w:rsidRDefault="000E56A0" w:rsidP="000E56A0">
            <w:pPr>
              <w:ind w:right="87"/>
              <w:jc w:val="center"/>
              <w:rPr>
                <w:i/>
                <w:iCs/>
                <w:lang w:val="bs" w:eastAsia="en-US"/>
              </w:rPr>
            </w:pPr>
            <w:r w:rsidRPr="000E56A0">
              <w:rPr>
                <w:i/>
                <w:iCs/>
                <w:lang w:val="bs" w:eastAsia="en-US"/>
              </w:rPr>
              <w:t xml:space="preserve">                   7</w:t>
            </w:r>
            <w:r w:rsidR="00547ADC">
              <w:rPr>
                <w:i/>
                <w:iCs/>
                <w:lang w:val="bs" w:eastAsia="en-US"/>
              </w:rPr>
              <w:t>5</w:t>
            </w:r>
            <w:r w:rsidRPr="000E56A0">
              <w:rPr>
                <w:i/>
                <w:iCs/>
                <w:lang w:val="bs" w:eastAsia="en-US"/>
              </w:rPr>
              <w:t>0.000,00 €</w:t>
            </w:r>
          </w:p>
        </w:tc>
      </w:tr>
      <w:tr w:rsidR="000E56A0" w:rsidRPr="00864BC2" w14:paraId="2CF67904" w14:textId="77777777" w:rsidTr="000C4FDB">
        <w:trPr>
          <w:trHeight w:val="626"/>
        </w:trPr>
        <w:tc>
          <w:tcPr>
            <w:tcW w:w="1565" w:type="dxa"/>
          </w:tcPr>
          <w:p w14:paraId="7DC6EA78" w14:textId="16421E96" w:rsidR="000E56A0" w:rsidRPr="00864BC2" w:rsidRDefault="000E56A0" w:rsidP="00F81689">
            <w:pPr>
              <w:spacing w:before="11"/>
              <w:jc w:val="both"/>
              <w:rPr>
                <w:i/>
                <w:lang w:val="bs" w:eastAsia="en-US"/>
              </w:rPr>
            </w:pPr>
            <w:r>
              <w:rPr>
                <w:i/>
                <w:lang w:val="bs" w:eastAsia="en-US"/>
              </w:rPr>
              <w:t>2.limit</w:t>
            </w:r>
          </w:p>
        </w:tc>
        <w:tc>
          <w:tcPr>
            <w:tcW w:w="1747" w:type="dxa"/>
          </w:tcPr>
          <w:p w14:paraId="531E0331" w14:textId="05AD0AF1" w:rsidR="000E56A0" w:rsidRPr="00864BC2" w:rsidRDefault="000E56A0" w:rsidP="00F81689">
            <w:pPr>
              <w:spacing w:before="10"/>
              <w:jc w:val="both"/>
              <w:rPr>
                <w:i/>
                <w:lang w:val="bs" w:eastAsia="en-US"/>
              </w:rPr>
            </w:pPr>
            <w:r>
              <w:rPr>
                <w:i/>
                <w:lang w:val="bs" w:eastAsia="en-US"/>
              </w:rPr>
              <w:t>Dječji vrtić Jurek</w:t>
            </w:r>
          </w:p>
        </w:tc>
        <w:tc>
          <w:tcPr>
            <w:tcW w:w="1933" w:type="dxa"/>
          </w:tcPr>
          <w:p w14:paraId="416D438B" w14:textId="204D7B03" w:rsidR="000E56A0" w:rsidRPr="00864BC2" w:rsidRDefault="000E56A0" w:rsidP="000E56A0">
            <w:pPr>
              <w:tabs>
                <w:tab w:val="left" w:pos="253"/>
              </w:tabs>
              <w:spacing w:before="2"/>
              <w:rPr>
                <w:i/>
                <w:lang w:val="bs" w:eastAsia="en-US"/>
              </w:rPr>
            </w:pPr>
            <w:r>
              <w:rPr>
                <w:i/>
                <w:lang w:val="bs" w:eastAsia="en-US"/>
              </w:rPr>
              <w:tab/>
              <w:t xml:space="preserve">      </w:t>
            </w:r>
            <w:r w:rsidR="00547ADC">
              <w:rPr>
                <w:i/>
                <w:lang w:val="bs" w:eastAsia="en-US"/>
              </w:rPr>
              <w:t xml:space="preserve">          </w:t>
            </w:r>
            <w:r>
              <w:rPr>
                <w:i/>
                <w:lang w:val="bs" w:eastAsia="en-US"/>
              </w:rPr>
              <w:t>0,00 €</w:t>
            </w:r>
          </w:p>
        </w:tc>
        <w:tc>
          <w:tcPr>
            <w:tcW w:w="2399" w:type="dxa"/>
          </w:tcPr>
          <w:p w14:paraId="17C5160C" w14:textId="55FA0663" w:rsidR="000E56A0" w:rsidRPr="00864BC2" w:rsidRDefault="000E56A0" w:rsidP="00F81689">
            <w:pPr>
              <w:spacing w:before="2"/>
              <w:jc w:val="both"/>
              <w:rPr>
                <w:i/>
                <w:lang w:val="bs" w:eastAsia="en-US"/>
              </w:rPr>
            </w:pPr>
            <w:r>
              <w:rPr>
                <w:i/>
                <w:lang w:val="bs" w:eastAsia="en-US"/>
              </w:rPr>
              <w:t xml:space="preserve">                    </w:t>
            </w:r>
            <w:r w:rsidR="00547ADC">
              <w:rPr>
                <w:i/>
                <w:lang w:val="bs" w:eastAsia="en-US"/>
              </w:rPr>
              <w:t xml:space="preserve">        </w:t>
            </w:r>
            <w:r>
              <w:rPr>
                <w:i/>
                <w:lang w:val="bs" w:eastAsia="en-US"/>
              </w:rPr>
              <w:t xml:space="preserve">0,00 € </w:t>
            </w:r>
          </w:p>
        </w:tc>
        <w:tc>
          <w:tcPr>
            <w:tcW w:w="2550" w:type="dxa"/>
          </w:tcPr>
          <w:p w14:paraId="7EEB8912" w14:textId="52C15220" w:rsidR="000E56A0" w:rsidRPr="000E56A0" w:rsidRDefault="000E56A0" w:rsidP="00F81689">
            <w:pPr>
              <w:ind w:right="87"/>
              <w:jc w:val="both"/>
              <w:rPr>
                <w:i/>
                <w:iCs/>
                <w:lang w:val="bs" w:eastAsia="en-US"/>
              </w:rPr>
            </w:pPr>
            <w:r w:rsidRPr="000E56A0">
              <w:rPr>
                <w:i/>
                <w:iCs/>
                <w:lang w:val="bs" w:eastAsia="en-US"/>
              </w:rPr>
              <w:t xml:space="preserve">                      </w:t>
            </w:r>
            <w:r w:rsidR="00547ADC">
              <w:rPr>
                <w:i/>
                <w:iCs/>
                <w:lang w:val="bs" w:eastAsia="en-US"/>
              </w:rPr>
              <w:t xml:space="preserve">        </w:t>
            </w:r>
            <w:r w:rsidRPr="000E56A0">
              <w:rPr>
                <w:i/>
                <w:iCs/>
                <w:lang w:val="bs" w:eastAsia="en-US"/>
              </w:rPr>
              <w:t>0,00 €</w:t>
            </w:r>
          </w:p>
        </w:tc>
      </w:tr>
      <w:tr w:rsidR="000E56A0" w:rsidRPr="00864BC2" w14:paraId="4F09EE3D" w14:textId="77777777" w:rsidTr="000C4FDB">
        <w:trPr>
          <w:trHeight w:val="626"/>
        </w:trPr>
        <w:tc>
          <w:tcPr>
            <w:tcW w:w="1565" w:type="dxa"/>
          </w:tcPr>
          <w:p w14:paraId="3EA7A0CA" w14:textId="77777777" w:rsidR="000E56A0" w:rsidRPr="000C4FDB" w:rsidRDefault="000C4FDB" w:rsidP="000C4FDB">
            <w:pPr>
              <w:spacing w:before="11"/>
              <w:rPr>
                <w:b/>
                <w:bCs/>
                <w:i/>
                <w:lang w:val="bs" w:eastAsia="en-US"/>
              </w:rPr>
            </w:pPr>
            <w:r w:rsidRPr="000C4FDB">
              <w:rPr>
                <w:b/>
                <w:bCs/>
                <w:i/>
                <w:lang w:val="bs" w:eastAsia="en-US"/>
              </w:rPr>
              <w:t>Izvor financiranja:</w:t>
            </w:r>
          </w:p>
          <w:p w14:paraId="24B7645F" w14:textId="5D8661A6" w:rsidR="000C4FDB" w:rsidRDefault="000C4FDB" w:rsidP="000C4FDB">
            <w:pPr>
              <w:spacing w:before="11"/>
              <w:rPr>
                <w:i/>
                <w:lang w:val="bs" w:eastAsia="en-US"/>
              </w:rPr>
            </w:pPr>
            <w:r w:rsidRPr="000C4FDB">
              <w:rPr>
                <w:b/>
                <w:bCs/>
                <w:i/>
                <w:lang w:val="bs" w:eastAsia="en-US"/>
              </w:rPr>
              <w:t>Opći prihodi i primici</w:t>
            </w:r>
          </w:p>
        </w:tc>
        <w:tc>
          <w:tcPr>
            <w:tcW w:w="1747" w:type="dxa"/>
          </w:tcPr>
          <w:p w14:paraId="2A9264E2" w14:textId="630BF82C" w:rsidR="000E56A0" w:rsidRDefault="000C4FDB" w:rsidP="00F81689">
            <w:pPr>
              <w:spacing w:before="10"/>
              <w:jc w:val="both"/>
              <w:rPr>
                <w:i/>
                <w:lang w:val="bs" w:eastAsia="en-US"/>
              </w:rPr>
            </w:pPr>
            <w:r>
              <w:rPr>
                <w:i/>
                <w:lang w:val="bs" w:eastAsia="en-US"/>
              </w:rPr>
              <w:t>Dječji vrtić Jurek</w:t>
            </w:r>
          </w:p>
        </w:tc>
        <w:tc>
          <w:tcPr>
            <w:tcW w:w="1933" w:type="dxa"/>
          </w:tcPr>
          <w:p w14:paraId="4D34F9CF" w14:textId="73DDA147" w:rsidR="000E56A0" w:rsidRDefault="000C4FDB" w:rsidP="000E56A0">
            <w:pPr>
              <w:tabs>
                <w:tab w:val="left" w:pos="253"/>
              </w:tabs>
              <w:spacing w:before="2"/>
              <w:rPr>
                <w:i/>
                <w:lang w:val="bs" w:eastAsia="en-US"/>
              </w:rPr>
            </w:pPr>
            <w:r>
              <w:rPr>
                <w:i/>
                <w:lang w:val="bs" w:eastAsia="en-US"/>
              </w:rPr>
              <w:t xml:space="preserve">          622.000,00 €</w:t>
            </w:r>
          </w:p>
        </w:tc>
        <w:tc>
          <w:tcPr>
            <w:tcW w:w="2399" w:type="dxa"/>
          </w:tcPr>
          <w:p w14:paraId="04604D86" w14:textId="2936ED2D" w:rsidR="000E56A0" w:rsidRDefault="000C4FDB" w:rsidP="00F81689">
            <w:pPr>
              <w:spacing w:before="2"/>
              <w:jc w:val="both"/>
              <w:rPr>
                <w:i/>
                <w:lang w:val="bs" w:eastAsia="en-US"/>
              </w:rPr>
            </w:pPr>
            <w:r>
              <w:rPr>
                <w:i/>
                <w:lang w:val="bs" w:eastAsia="en-US"/>
              </w:rPr>
              <w:t xml:space="preserve">                  622.000,00 €</w:t>
            </w:r>
          </w:p>
        </w:tc>
        <w:tc>
          <w:tcPr>
            <w:tcW w:w="2550" w:type="dxa"/>
          </w:tcPr>
          <w:p w14:paraId="7D8AC08D" w14:textId="3D698A31" w:rsidR="000E56A0" w:rsidRPr="000E56A0" w:rsidRDefault="000C4FDB" w:rsidP="00F81689">
            <w:pPr>
              <w:ind w:right="87"/>
              <w:jc w:val="both"/>
              <w:rPr>
                <w:i/>
                <w:iCs/>
                <w:lang w:val="bs" w:eastAsia="en-US"/>
              </w:rPr>
            </w:pPr>
            <w:r>
              <w:rPr>
                <w:i/>
                <w:iCs/>
                <w:lang w:val="bs" w:eastAsia="en-US"/>
              </w:rPr>
              <w:t xml:space="preserve">                  622.000,00 €</w:t>
            </w:r>
          </w:p>
        </w:tc>
      </w:tr>
      <w:tr w:rsidR="000C4FDB" w:rsidRPr="00864BC2" w14:paraId="1635B681" w14:textId="77777777" w:rsidTr="000C4FDB">
        <w:trPr>
          <w:trHeight w:val="626"/>
        </w:trPr>
        <w:tc>
          <w:tcPr>
            <w:tcW w:w="1565" w:type="dxa"/>
          </w:tcPr>
          <w:p w14:paraId="7E23F061" w14:textId="4A22CF09" w:rsidR="000C4FDB" w:rsidRPr="000C4FDB" w:rsidRDefault="000C4FDB" w:rsidP="00F81689">
            <w:pPr>
              <w:spacing w:before="11"/>
              <w:jc w:val="both"/>
              <w:rPr>
                <w:b/>
                <w:bCs/>
                <w:i/>
                <w:lang w:val="bs" w:eastAsia="en-US"/>
              </w:rPr>
            </w:pPr>
            <w:r w:rsidRPr="000C4FDB">
              <w:rPr>
                <w:b/>
                <w:bCs/>
                <w:i/>
                <w:lang w:val="bs" w:eastAsia="en-US"/>
              </w:rPr>
              <w:t>Izvor financiranja: fiskalna održivost dječjih vrtića</w:t>
            </w:r>
          </w:p>
        </w:tc>
        <w:tc>
          <w:tcPr>
            <w:tcW w:w="1747" w:type="dxa"/>
          </w:tcPr>
          <w:p w14:paraId="43C9ADAD" w14:textId="0960EF36" w:rsidR="000C4FDB" w:rsidRDefault="000C4FDB" w:rsidP="00F81689">
            <w:pPr>
              <w:spacing w:before="10"/>
              <w:jc w:val="both"/>
              <w:rPr>
                <w:i/>
                <w:lang w:val="bs" w:eastAsia="en-US"/>
              </w:rPr>
            </w:pPr>
            <w:r>
              <w:rPr>
                <w:i/>
                <w:lang w:val="bs" w:eastAsia="en-US"/>
              </w:rPr>
              <w:t>Dječji vrtić Jurek</w:t>
            </w:r>
          </w:p>
        </w:tc>
        <w:tc>
          <w:tcPr>
            <w:tcW w:w="1933" w:type="dxa"/>
          </w:tcPr>
          <w:p w14:paraId="2B18AA2E" w14:textId="36E49609" w:rsidR="000C4FDB" w:rsidRDefault="000C4FDB" w:rsidP="000E56A0">
            <w:pPr>
              <w:tabs>
                <w:tab w:val="left" w:pos="253"/>
              </w:tabs>
              <w:spacing w:before="2"/>
              <w:rPr>
                <w:i/>
                <w:lang w:val="bs" w:eastAsia="en-US"/>
              </w:rPr>
            </w:pPr>
            <w:r>
              <w:rPr>
                <w:i/>
                <w:lang w:val="bs" w:eastAsia="en-US"/>
              </w:rPr>
              <w:t xml:space="preserve">         128.000,00 €</w:t>
            </w:r>
          </w:p>
        </w:tc>
        <w:tc>
          <w:tcPr>
            <w:tcW w:w="2399" w:type="dxa"/>
          </w:tcPr>
          <w:p w14:paraId="6C456280" w14:textId="68132C4A" w:rsidR="000C4FDB" w:rsidRDefault="000C4FDB" w:rsidP="00F81689">
            <w:pPr>
              <w:spacing w:before="2"/>
              <w:jc w:val="both"/>
              <w:rPr>
                <w:i/>
                <w:lang w:val="bs" w:eastAsia="en-US"/>
              </w:rPr>
            </w:pPr>
            <w:r>
              <w:rPr>
                <w:i/>
                <w:lang w:val="bs" w:eastAsia="en-US"/>
              </w:rPr>
              <w:t xml:space="preserve">                 128.000,00 €</w:t>
            </w:r>
          </w:p>
        </w:tc>
        <w:tc>
          <w:tcPr>
            <w:tcW w:w="2550" w:type="dxa"/>
          </w:tcPr>
          <w:p w14:paraId="3CE0C6C1" w14:textId="28B9CD37" w:rsidR="000C4FDB" w:rsidRPr="000E56A0" w:rsidRDefault="000C4FDB" w:rsidP="00F81689">
            <w:pPr>
              <w:ind w:right="87"/>
              <w:jc w:val="both"/>
              <w:rPr>
                <w:i/>
                <w:iCs/>
                <w:lang w:val="bs" w:eastAsia="en-US"/>
              </w:rPr>
            </w:pPr>
            <w:r>
              <w:rPr>
                <w:i/>
                <w:iCs/>
                <w:lang w:val="bs" w:eastAsia="en-US"/>
              </w:rPr>
              <w:t xml:space="preserve">                    128.000,00 €</w:t>
            </w:r>
          </w:p>
        </w:tc>
      </w:tr>
    </w:tbl>
    <w:p w14:paraId="7AB392F7" w14:textId="77777777" w:rsidR="000C4FDB" w:rsidRDefault="000C4FDB" w:rsidP="000C4FDB">
      <w:pPr>
        <w:jc w:val="both"/>
        <w:rPr>
          <w:lang w:val="en-AU"/>
        </w:rPr>
      </w:pPr>
    </w:p>
    <w:p w14:paraId="7C183D37" w14:textId="0C33560B" w:rsidR="00547ADC" w:rsidRDefault="000C4FDB" w:rsidP="00547ADC">
      <w:pPr>
        <w:ind w:firstLine="708"/>
        <w:jc w:val="both"/>
      </w:pPr>
      <w:r w:rsidRPr="0004102E">
        <w:t>Navedeni limit</w:t>
      </w:r>
      <w:r>
        <w:t xml:space="preserve"> za korisnika Dječji vrtić Jurek odnos</w:t>
      </w:r>
      <w:r w:rsidR="005D4F57">
        <w:t>i</w:t>
      </w:r>
      <w:r>
        <w:t xml:space="preserve"> se na sredstva potrebna za provedbu postojećih redovnih programa, odnosno aktivnosti (koje proizlaze iz trenutno važećih propisa).</w:t>
      </w:r>
    </w:p>
    <w:p w14:paraId="10B71B9D" w14:textId="77777777" w:rsidR="00547ADC" w:rsidRDefault="00547ADC" w:rsidP="00547ADC">
      <w:pPr>
        <w:jc w:val="both"/>
      </w:pPr>
    </w:p>
    <w:p w14:paraId="1EC5E462" w14:textId="77777777" w:rsidR="00547ADC" w:rsidRPr="00547ADC" w:rsidRDefault="00547ADC" w:rsidP="002B3CD3">
      <w:pPr>
        <w:pStyle w:val="Naslov1"/>
        <w:rPr>
          <w:rFonts w:eastAsia="Calibri"/>
        </w:rPr>
      </w:pPr>
      <w:bookmarkStart w:id="15" w:name="_Toc211859580"/>
      <w:bookmarkStart w:id="16" w:name="_Toc211859974"/>
      <w:r w:rsidRPr="00547ADC">
        <w:rPr>
          <w:rFonts w:eastAsia="Calibri"/>
        </w:rPr>
        <w:t>5. NAČIN PRIPREME TE TERMINSKI PLAN ZA IZRADU PRORAČUNA I  PRIJEDLOGA FINANCIJSKIH PLANOVA</w:t>
      </w:r>
      <w:bookmarkEnd w:id="15"/>
      <w:bookmarkEnd w:id="16"/>
    </w:p>
    <w:p w14:paraId="674B5F30" w14:textId="77777777" w:rsidR="00547ADC" w:rsidRPr="00547ADC" w:rsidRDefault="00547ADC" w:rsidP="00547ADC">
      <w:pPr>
        <w:spacing w:line="276" w:lineRule="auto"/>
        <w:jc w:val="both"/>
        <w:rPr>
          <w:rFonts w:eastAsia="Calibri"/>
          <w:b/>
          <w:lang w:eastAsia="en-US"/>
        </w:rPr>
      </w:pPr>
    </w:p>
    <w:p w14:paraId="518FADBF" w14:textId="77777777" w:rsidR="00547ADC" w:rsidRPr="00547ADC" w:rsidRDefault="00547ADC" w:rsidP="00547ADC">
      <w:pPr>
        <w:spacing w:line="276" w:lineRule="auto"/>
        <w:jc w:val="both"/>
        <w:rPr>
          <w:rFonts w:eastAsia="Calibri"/>
          <w:b/>
          <w:lang w:eastAsia="en-US"/>
        </w:rPr>
      </w:pPr>
      <w:r w:rsidRPr="00547ADC">
        <w:rPr>
          <w:rFonts w:eastAsia="Calibri"/>
          <w:b/>
          <w:lang w:eastAsia="en-US"/>
        </w:rPr>
        <w:t>PREDLAGANJE I DONOŠENJE FINANCIJSKOG PLANA I PRORAČUNA OPĆINE</w:t>
      </w:r>
    </w:p>
    <w:p w14:paraId="10095527" w14:textId="77777777" w:rsidR="00547ADC" w:rsidRPr="00547ADC" w:rsidRDefault="00547ADC" w:rsidP="00547ADC">
      <w:pPr>
        <w:spacing w:line="276" w:lineRule="auto"/>
        <w:jc w:val="both"/>
        <w:rPr>
          <w:rFonts w:eastAsia="Calibri"/>
          <w:lang w:eastAsia="en-US"/>
        </w:rPr>
      </w:pPr>
    </w:p>
    <w:tbl>
      <w:tblPr>
        <w:tblStyle w:val="Reetkatablice1"/>
        <w:tblW w:w="0" w:type="auto"/>
        <w:tblInd w:w="0" w:type="dxa"/>
        <w:tblLook w:val="04A0" w:firstRow="1" w:lastRow="0" w:firstColumn="1" w:lastColumn="0" w:noHBand="0" w:noVBand="1"/>
      </w:tblPr>
      <w:tblGrid>
        <w:gridCol w:w="1523"/>
        <w:gridCol w:w="1813"/>
        <w:gridCol w:w="1977"/>
        <w:gridCol w:w="3749"/>
      </w:tblGrid>
      <w:tr w:rsidR="00547ADC" w:rsidRPr="00547ADC" w14:paraId="335FDE34" w14:textId="77777777" w:rsidTr="00547ADC">
        <w:tc>
          <w:tcPr>
            <w:tcW w:w="141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11467B3" w14:textId="77777777" w:rsidR="00547ADC" w:rsidRPr="00547ADC" w:rsidRDefault="00547ADC" w:rsidP="00547ADC">
            <w:pPr>
              <w:jc w:val="both"/>
              <w:rPr>
                <w:rFonts w:eastAsia="Calibri"/>
                <w:b/>
                <w:bCs/>
                <w:lang w:eastAsia="en-US"/>
              </w:rPr>
            </w:pPr>
            <w:r w:rsidRPr="00547ADC">
              <w:rPr>
                <w:rFonts w:eastAsia="Calibri"/>
                <w:b/>
                <w:bCs/>
                <w:lang w:eastAsia="en-US"/>
              </w:rPr>
              <w:t xml:space="preserve">     TKO</w:t>
            </w:r>
          </w:p>
        </w:tc>
        <w:tc>
          <w:tcPr>
            <w:tcW w:w="182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6DB1027" w14:textId="77777777" w:rsidR="00547ADC" w:rsidRPr="00547ADC" w:rsidRDefault="00547ADC" w:rsidP="00547ADC">
            <w:pPr>
              <w:jc w:val="both"/>
              <w:rPr>
                <w:rFonts w:eastAsia="Calibri"/>
                <w:b/>
                <w:bCs/>
                <w:lang w:eastAsia="en-US"/>
              </w:rPr>
            </w:pPr>
            <w:r w:rsidRPr="00547ADC">
              <w:rPr>
                <w:rFonts w:eastAsia="Calibri"/>
                <w:b/>
                <w:bCs/>
                <w:lang w:eastAsia="en-US"/>
              </w:rPr>
              <w:t>KOME</w:t>
            </w:r>
          </w:p>
        </w:tc>
        <w:tc>
          <w:tcPr>
            <w:tcW w:w="195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D075EA3" w14:textId="77777777" w:rsidR="00547ADC" w:rsidRPr="00547ADC" w:rsidRDefault="00547ADC" w:rsidP="00547ADC">
            <w:pPr>
              <w:jc w:val="both"/>
              <w:rPr>
                <w:rFonts w:eastAsia="Calibri"/>
                <w:b/>
                <w:bCs/>
                <w:lang w:eastAsia="en-US"/>
              </w:rPr>
            </w:pPr>
            <w:r w:rsidRPr="00547ADC">
              <w:rPr>
                <w:rFonts w:eastAsia="Calibri"/>
                <w:b/>
                <w:bCs/>
                <w:lang w:eastAsia="en-US"/>
              </w:rPr>
              <w:t>PREPORUČENI ROK</w:t>
            </w:r>
          </w:p>
        </w:tc>
        <w:tc>
          <w:tcPr>
            <w:tcW w:w="382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EC69571" w14:textId="77777777" w:rsidR="00547ADC" w:rsidRPr="00547ADC" w:rsidRDefault="00547ADC" w:rsidP="00547ADC">
            <w:pPr>
              <w:jc w:val="both"/>
              <w:rPr>
                <w:rFonts w:eastAsia="Calibri"/>
                <w:b/>
                <w:bCs/>
                <w:lang w:eastAsia="en-US"/>
              </w:rPr>
            </w:pPr>
            <w:r w:rsidRPr="00547ADC">
              <w:rPr>
                <w:rFonts w:eastAsia="Calibri"/>
                <w:b/>
                <w:bCs/>
                <w:lang w:eastAsia="en-US"/>
              </w:rPr>
              <w:t>NAPOMENA</w:t>
            </w:r>
          </w:p>
        </w:tc>
      </w:tr>
      <w:tr w:rsidR="00547ADC" w:rsidRPr="00547ADC" w14:paraId="06C37744" w14:textId="77777777" w:rsidTr="008171CD">
        <w:trPr>
          <w:trHeight w:val="780"/>
        </w:trPr>
        <w:tc>
          <w:tcPr>
            <w:tcW w:w="1414" w:type="dxa"/>
            <w:tcBorders>
              <w:top w:val="single" w:sz="4" w:space="0" w:color="auto"/>
              <w:left w:val="single" w:sz="4" w:space="0" w:color="auto"/>
              <w:bottom w:val="single" w:sz="4" w:space="0" w:color="auto"/>
              <w:right w:val="single" w:sz="4" w:space="0" w:color="auto"/>
            </w:tcBorders>
          </w:tcPr>
          <w:p w14:paraId="7FDC35AC" w14:textId="77777777" w:rsidR="00547ADC" w:rsidRPr="00547ADC" w:rsidRDefault="00547ADC" w:rsidP="00547ADC">
            <w:pPr>
              <w:jc w:val="both"/>
              <w:rPr>
                <w:rFonts w:eastAsia="Calibri"/>
                <w:lang w:eastAsia="en-US"/>
              </w:rPr>
            </w:pPr>
            <w:r w:rsidRPr="00547ADC">
              <w:rPr>
                <w:rFonts w:eastAsia="Calibri"/>
                <w:lang w:eastAsia="en-US"/>
              </w:rPr>
              <w:t xml:space="preserve">Čelnik proračunskog korisnika </w:t>
            </w:r>
          </w:p>
        </w:tc>
        <w:tc>
          <w:tcPr>
            <w:tcW w:w="1821" w:type="dxa"/>
            <w:tcBorders>
              <w:top w:val="single" w:sz="4" w:space="0" w:color="auto"/>
              <w:left w:val="single" w:sz="4" w:space="0" w:color="auto"/>
              <w:bottom w:val="single" w:sz="4" w:space="0" w:color="auto"/>
              <w:right w:val="single" w:sz="4" w:space="0" w:color="auto"/>
            </w:tcBorders>
          </w:tcPr>
          <w:p w14:paraId="3E03FDF2" w14:textId="77777777" w:rsidR="00547ADC" w:rsidRPr="00547ADC" w:rsidRDefault="00547ADC" w:rsidP="00547ADC">
            <w:pPr>
              <w:jc w:val="both"/>
              <w:rPr>
                <w:rFonts w:eastAsia="Calibri"/>
                <w:lang w:eastAsia="en-US"/>
              </w:rPr>
            </w:pPr>
            <w:r w:rsidRPr="00547ADC">
              <w:rPr>
                <w:rFonts w:eastAsia="Calibri"/>
                <w:lang w:eastAsia="en-US"/>
              </w:rPr>
              <w:t>Upravljačkom tijelu</w:t>
            </w:r>
          </w:p>
        </w:tc>
        <w:tc>
          <w:tcPr>
            <w:tcW w:w="1959" w:type="dxa"/>
            <w:tcBorders>
              <w:top w:val="single" w:sz="4" w:space="0" w:color="auto"/>
              <w:left w:val="single" w:sz="4" w:space="0" w:color="auto"/>
              <w:bottom w:val="single" w:sz="4" w:space="0" w:color="auto"/>
              <w:right w:val="single" w:sz="4" w:space="0" w:color="auto"/>
            </w:tcBorders>
          </w:tcPr>
          <w:p w14:paraId="3A320D7F" w14:textId="77777777" w:rsidR="00547ADC" w:rsidRPr="00547ADC" w:rsidRDefault="00547ADC" w:rsidP="00547ADC">
            <w:pPr>
              <w:jc w:val="both"/>
              <w:rPr>
                <w:rFonts w:eastAsia="Calibri"/>
                <w:lang w:eastAsia="en-US"/>
              </w:rPr>
            </w:pPr>
            <w:r w:rsidRPr="00547ADC">
              <w:rPr>
                <w:rFonts w:eastAsia="Calibri"/>
                <w:lang w:eastAsia="en-US"/>
              </w:rPr>
              <w:t>Do 10. listopada 2025.</w:t>
            </w:r>
          </w:p>
          <w:p w14:paraId="2D3CA026" w14:textId="77777777" w:rsidR="00547ADC" w:rsidRPr="00547ADC" w:rsidRDefault="00547ADC" w:rsidP="00547ADC">
            <w:pPr>
              <w:jc w:val="both"/>
              <w:rPr>
                <w:rFonts w:eastAsia="Calibri"/>
                <w:lang w:eastAsia="en-US"/>
              </w:rPr>
            </w:pPr>
          </w:p>
          <w:p w14:paraId="09D89193" w14:textId="77777777" w:rsidR="00547ADC" w:rsidRPr="00547ADC" w:rsidRDefault="00547ADC" w:rsidP="00547ADC">
            <w:pPr>
              <w:jc w:val="both"/>
              <w:rPr>
                <w:rFonts w:eastAsia="Calibri"/>
                <w:lang w:eastAsia="en-US"/>
              </w:rPr>
            </w:pPr>
          </w:p>
        </w:tc>
        <w:tc>
          <w:tcPr>
            <w:tcW w:w="3822" w:type="dxa"/>
            <w:vMerge w:val="restart"/>
            <w:tcBorders>
              <w:top w:val="single" w:sz="4" w:space="0" w:color="auto"/>
              <w:left w:val="single" w:sz="4" w:space="0" w:color="auto"/>
              <w:bottom w:val="single" w:sz="4" w:space="0" w:color="auto"/>
              <w:right w:val="single" w:sz="4" w:space="0" w:color="auto"/>
            </w:tcBorders>
          </w:tcPr>
          <w:p w14:paraId="5455579E" w14:textId="77777777" w:rsidR="00547ADC" w:rsidRPr="00547ADC" w:rsidRDefault="00547ADC" w:rsidP="00547ADC">
            <w:pPr>
              <w:jc w:val="both"/>
              <w:rPr>
                <w:rFonts w:eastAsia="Calibri"/>
                <w:lang w:eastAsia="en-US"/>
              </w:rPr>
            </w:pPr>
            <w:r w:rsidRPr="00547ADC">
              <w:rPr>
                <w:rFonts w:eastAsia="Calibri"/>
                <w:lang w:eastAsia="en-US"/>
              </w:rPr>
              <w:t>Prije dostave prijedloga financijskog plana upravnom tijelu, čelnik proračunskog korisnika obvezan je prijedlog financijskog plana uputiti upravljačkom tijelu na usvajanje, ako je primjenjivo, u skladu s aktima kojima je uređen rad proračunskog korisnika.</w:t>
            </w:r>
          </w:p>
          <w:p w14:paraId="690F3079" w14:textId="77777777" w:rsidR="00547ADC" w:rsidRPr="00547ADC" w:rsidRDefault="00547ADC" w:rsidP="00547ADC">
            <w:pPr>
              <w:jc w:val="both"/>
              <w:rPr>
                <w:rFonts w:eastAsia="Calibri"/>
                <w:lang w:eastAsia="en-US"/>
              </w:rPr>
            </w:pPr>
          </w:p>
        </w:tc>
      </w:tr>
      <w:tr w:rsidR="00547ADC" w:rsidRPr="00547ADC" w14:paraId="79368D8C" w14:textId="77777777" w:rsidTr="008171CD">
        <w:trPr>
          <w:trHeight w:val="812"/>
        </w:trPr>
        <w:tc>
          <w:tcPr>
            <w:tcW w:w="1414" w:type="dxa"/>
            <w:tcBorders>
              <w:top w:val="single" w:sz="4" w:space="0" w:color="auto"/>
              <w:left w:val="single" w:sz="4" w:space="0" w:color="auto"/>
              <w:bottom w:val="single" w:sz="4" w:space="0" w:color="auto"/>
              <w:right w:val="single" w:sz="4" w:space="0" w:color="auto"/>
            </w:tcBorders>
          </w:tcPr>
          <w:p w14:paraId="13C30EFF" w14:textId="77777777" w:rsidR="00547ADC" w:rsidRPr="00547ADC" w:rsidRDefault="00547ADC" w:rsidP="00547ADC">
            <w:pPr>
              <w:jc w:val="both"/>
              <w:rPr>
                <w:rFonts w:eastAsia="Calibri"/>
                <w:lang w:eastAsia="en-US"/>
              </w:rPr>
            </w:pPr>
            <w:r w:rsidRPr="00547ADC">
              <w:rPr>
                <w:rFonts w:eastAsia="Calibri"/>
                <w:lang w:eastAsia="en-US"/>
              </w:rPr>
              <w:t xml:space="preserve">Proračunski korisnik </w:t>
            </w:r>
          </w:p>
        </w:tc>
        <w:tc>
          <w:tcPr>
            <w:tcW w:w="1821" w:type="dxa"/>
            <w:tcBorders>
              <w:top w:val="single" w:sz="4" w:space="0" w:color="auto"/>
              <w:left w:val="single" w:sz="4" w:space="0" w:color="auto"/>
              <w:bottom w:val="single" w:sz="4" w:space="0" w:color="auto"/>
              <w:right w:val="single" w:sz="4" w:space="0" w:color="auto"/>
            </w:tcBorders>
          </w:tcPr>
          <w:p w14:paraId="3D231551" w14:textId="77777777" w:rsidR="00547ADC" w:rsidRPr="00547ADC" w:rsidRDefault="00547ADC" w:rsidP="00547ADC">
            <w:pPr>
              <w:jc w:val="both"/>
              <w:rPr>
                <w:rFonts w:eastAsia="Calibri"/>
                <w:lang w:eastAsia="en-US"/>
              </w:rPr>
            </w:pPr>
            <w:r w:rsidRPr="00547ADC">
              <w:rPr>
                <w:rFonts w:eastAsia="Calibri"/>
                <w:lang w:eastAsia="en-US"/>
              </w:rPr>
              <w:t>Jedinstvenom upravnom odjelu</w:t>
            </w:r>
          </w:p>
        </w:tc>
        <w:tc>
          <w:tcPr>
            <w:tcW w:w="1959" w:type="dxa"/>
            <w:tcBorders>
              <w:top w:val="single" w:sz="4" w:space="0" w:color="auto"/>
              <w:left w:val="single" w:sz="4" w:space="0" w:color="auto"/>
              <w:bottom w:val="single" w:sz="4" w:space="0" w:color="auto"/>
              <w:right w:val="single" w:sz="4" w:space="0" w:color="auto"/>
            </w:tcBorders>
          </w:tcPr>
          <w:p w14:paraId="05F5A59D" w14:textId="77777777" w:rsidR="00547ADC" w:rsidRPr="00547ADC" w:rsidRDefault="00547ADC" w:rsidP="00547ADC">
            <w:pPr>
              <w:jc w:val="both"/>
              <w:rPr>
                <w:rFonts w:ascii="Calibri" w:eastAsia="Calibri" w:hAnsi="Calibri"/>
                <w:lang w:eastAsia="en-US"/>
              </w:rPr>
            </w:pPr>
            <w:r w:rsidRPr="00547ADC">
              <w:rPr>
                <w:rFonts w:eastAsia="Calibri"/>
                <w:lang w:eastAsia="en-US"/>
              </w:rPr>
              <w:t>Do 15. listopada 2025.</w:t>
            </w:r>
          </w:p>
        </w:tc>
        <w:tc>
          <w:tcPr>
            <w:tcW w:w="0" w:type="auto"/>
            <w:vMerge/>
            <w:tcBorders>
              <w:top w:val="single" w:sz="4" w:space="0" w:color="auto"/>
              <w:left w:val="single" w:sz="4" w:space="0" w:color="auto"/>
              <w:bottom w:val="single" w:sz="4" w:space="0" w:color="auto"/>
              <w:right w:val="single" w:sz="4" w:space="0" w:color="auto"/>
            </w:tcBorders>
            <w:vAlign w:val="center"/>
          </w:tcPr>
          <w:p w14:paraId="3BDF1BB4" w14:textId="77777777" w:rsidR="00547ADC" w:rsidRPr="00547ADC" w:rsidRDefault="00547ADC" w:rsidP="00547ADC">
            <w:pPr>
              <w:rPr>
                <w:rFonts w:eastAsia="Calibri"/>
                <w:lang w:eastAsia="en-US"/>
              </w:rPr>
            </w:pPr>
          </w:p>
        </w:tc>
      </w:tr>
      <w:tr w:rsidR="00547ADC" w:rsidRPr="00547ADC" w14:paraId="0D82541E" w14:textId="77777777" w:rsidTr="008171CD">
        <w:tc>
          <w:tcPr>
            <w:tcW w:w="1414" w:type="dxa"/>
            <w:tcBorders>
              <w:top w:val="single" w:sz="4" w:space="0" w:color="auto"/>
              <w:left w:val="single" w:sz="4" w:space="0" w:color="auto"/>
              <w:bottom w:val="single" w:sz="4" w:space="0" w:color="auto"/>
              <w:right w:val="single" w:sz="4" w:space="0" w:color="auto"/>
            </w:tcBorders>
          </w:tcPr>
          <w:p w14:paraId="3CE126CD" w14:textId="77777777" w:rsidR="00547ADC" w:rsidRPr="00547ADC" w:rsidRDefault="00547ADC" w:rsidP="00547ADC">
            <w:pPr>
              <w:jc w:val="both"/>
              <w:rPr>
                <w:rFonts w:eastAsia="Calibri"/>
                <w:lang w:eastAsia="en-US"/>
              </w:rPr>
            </w:pPr>
            <w:r w:rsidRPr="00547ADC">
              <w:rPr>
                <w:rFonts w:eastAsia="Calibri"/>
                <w:lang w:eastAsia="en-US"/>
              </w:rPr>
              <w:t>Jedinstveni upravni odjel</w:t>
            </w:r>
          </w:p>
        </w:tc>
        <w:tc>
          <w:tcPr>
            <w:tcW w:w="1821" w:type="dxa"/>
            <w:tcBorders>
              <w:top w:val="single" w:sz="4" w:space="0" w:color="auto"/>
              <w:left w:val="single" w:sz="4" w:space="0" w:color="auto"/>
              <w:bottom w:val="single" w:sz="4" w:space="0" w:color="auto"/>
              <w:right w:val="single" w:sz="4" w:space="0" w:color="auto"/>
            </w:tcBorders>
          </w:tcPr>
          <w:p w14:paraId="249A5287" w14:textId="77777777" w:rsidR="00547ADC" w:rsidRPr="00547ADC" w:rsidRDefault="00547ADC" w:rsidP="00547ADC">
            <w:pPr>
              <w:jc w:val="both"/>
              <w:rPr>
                <w:rFonts w:eastAsia="Calibri"/>
                <w:lang w:eastAsia="en-US"/>
              </w:rPr>
            </w:pPr>
            <w:r w:rsidRPr="00547ADC">
              <w:rPr>
                <w:rFonts w:eastAsia="Calibri"/>
                <w:lang w:eastAsia="en-US"/>
              </w:rPr>
              <w:t>Načelniku</w:t>
            </w:r>
          </w:p>
        </w:tc>
        <w:tc>
          <w:tcPr>
            <w:tcW w:w="1959" w:type="dxa"/>
            <w:tcBorders>
              <w:top w:val="single" w:sz="4" w:space="0" w:color="auto"/>
              <w:left w:val="single" w:sz="4" w:space="0" w:color="auto"/>
              <w:bottom w:val="single" w:sz="4" w:space="0" w:color="auto"/>
              <w:right w:val="single" w:sz="4" w:space="0" w:color="auto"/>
            </w:tcBorders>
          </w:tcPr>
          <w:p w14:paraId="4F5CC688" w14:textId="77777777" w:rsidR="00547ADC" w:rsidRPr="00547ADC" w:rsidRDefault="00547ADC" w:rsidP="00547ADC">
            <w:pPr>
              <w:jc w:val="both"/>
              <w:rPr>
                <w:rFonts w:eastAsia="Calibri"/>
                <w:lang w:eastAsia="en-US"/>
              </w:rPr>
            </w:pPr>
            <w:r w:rsidRPr="00547ADC">
              <w:rPr>
                <w:rFonts w:eastAsia="Calibri"/>
                <w:lang w:eastAsia="en-US"/>
              </w:rPr>
              <w:t>Do 30. listopada</w:t>
            </w:r>
          </w:p>
        </w:tc>
        <w:tc>
          <w:tcPr>
            <w:tcW w:w="3822" w:type="dxa"/>
            <w:tcBorders>
              <w:top w:val="single" w:sz="4" w:space="0" w:color="auto"/>
              <w:left w:val="single" w:sz="4" w:space="0" w:color="auto"/>
              <w:bottom w:val="single" w:sz="4" w:space="0" w:color="auto"/>
              <w:right w:val="single" w:sz="4" w:space="0" w:color="auto"/>
            </w:tcBorders>
          </w:tcPr>
          <w:p w14:paraId="35391FCE" w14:textId="77777777" w:rsidR="00547ADC" w:rsidRPr="00547ADC" w:rsidRDefault="00547ADC" w:rsidP="00547ADC">
            <w:pPr>
              <w:jc w:val="both"/>
              <w:rPr>
                <w:rFonts w:eastAsia="Calibri"/>
                <w:lang w:eastAsia="en-US"/>
              </w:rPr>
            </w:pPr>
            <w:r w:rsidRPr="00547ADC">
              <w:rPr>
                <w:rFonts w:eastAsia="Calibri"/>
                <w:lang w:eastAsia="en-US"/>
              </w:rPr>
              <w:t>Upravno tijelo je dužno provjeriti točnost i istinitost podataka navedenih u financijskom planu proračuna te izrađuje nacrt proračuna i dostavlja ga načelniku.</w:t>
            </w:r>
          </w:p>
          <w:p w14:paraId="6B85F7DA" w14:textId="77777777" w:rsidR="00547ADC" w:rsidRPr="00547ADC" w:rsidRDefault="00547ADC" w:rsidP="00547ADC">
            <w:pPr>
              <w:jc w:val="both"/>
              <w:rPr>
                <w:rFonts w:eastAsia="Calibri"/>
                <w:lang w:eastAsia="en-US"/>
              </w:rPr>
            </w:pPr>
          </w:p>
        </w:tc>
      </w:tr>
      <w:tr w:rsidR="00547ADC" w:rsidRPr="00547ADC" w14:paraId="1DF2B6C9" w14:textId="77777777" w:rsidTr="008171CD">
        <w:tc>
          <w:tcPr>
            <w:tcW w:w="1414" w:type="dxa"/>
            <w:tcBorders>
              <w:top w:val="single" w:sz="4" w:space="0" w:color="auto"/>
              <w:left w:val="single" w:sz="4" w:space="0" w:color="auto"/>
              <w:bottom w:val="single" w:sz="4" w:space="0" w:color="auto"/>
              <w:right w:val="single" w:sz="4" w:space="0" w:color="auto"/>
            </w:tcBorders>
          </w:tcPr>
          <w:p w14:paraId="5BE1C85B" w14:textId="77777777" w:rsidR="00547ADC" w:rsidRPr="00547ADC" w:rsidRDefault="00547ADC" w:rsidP="00547ADC">
            <w:pPr>
              <w:jc w:val="both"/>
              <w:rPr>
                <w:rFonts w:eastAsia="Calibri"/>
                <w:lang w:eastAsia="en-US"/>
              </w:rPr>
            </w:pPr>
            <w:r w:rsidRPr="00547ADC">
              <w:rPr>
                <w:rFonts w:eastAsia="Calibri"/>
                <w:lang w:eastAsia="en-US"/>
              </w:rPr>
              <w:lastRenderedPageBreak/>
              <w:t xml:space="preserve">Načelnik </w:t>
            </w:r>
          </w:p>
        </w:tc>
        <w:tc>
          <w:tcPr>
            <w:tcW w:w="1821" w:type="dxa"/>
            <w:tcBorders>
              <w:top w:val="single" w:sz="4" w:space="0" w:color="auto"/>
              <w:left w:val="single" w:sz="4" w:space="0" w:color="auto"/>
              <w:bottom w:val="single" w:sz="4" w:space="0" w:color="auto"/>
              <w:right w:val="single" w:sz="4" w:space="0" w:color="auto"/>
            </w:tcBorders>
          </w:tcPr>
          <w:p w14:paraId="7FD03381" w14:textId="77777777" w:rsidR="00547ADC" w:rsidRPr="00547ADC" w:rsidRDefault="00547ADC" w:rsidP="00547ADC">
            <w:pPr>
              <w:jc w:val="both"/>
              <w:rPr>
                <w:rFonts w:eastAsia="Calibri"/>
                <w:lang w:eastAsia="en-US"/>
              </w:rPr>
            </w:pPr>
            <w:r w:rsidRPr="00547ADC">
              <w:rPr>
                <w:rFonts w:eastAsia="Calibri"/>
                <w:lang w:eastAsia="en-US"/>
              </w:rPr>
              <w:t>Općinsko vijeće</w:t>
            </w:r>
          </w:p>
        </w:tc>
        <w:tc>
          <w:tcPr>
            <w:tcW w:w="1959" w:type="dxa"/>
            <w:tcBorders>
              <w:top w:val="single" w:sz="4" w:space="0" w:color="auto"/>
              <w:left w:val="single" w:sz="4" w:space="0" w:color="auto"/>
              <w:bottom w:val="single" w:sz="4" w:space="0" w:color="auto"/>
              <w:right w:val="single" w:sz="4" w:space="0" w:color="auto"/>
            </w:tcBorders>
          </w:tcPr>
          <w:p w14:paraId="7154E401" w14:textId="77777777" w:rsidR="00547ADC" w:rsidRPr="00547ADC" w:rsidRDefault="00547ADC" w:rsidP="00547ADC">
            <w:pPr>
              <w:jc w:val="both"/>
              <w:rPr>
                <w:rFonts w:eastAsia="Calibri"/>
                <w:lang w:eastAsia="en-US"/>
              </w:rPr>
            </w:pPr>
            <w:r w:rsidRPr="00547ADC">
              <w:rPr>
                <w:rFonts w:eastAsia="Calibri"/>
                <w:lang w:eastAsia="en-US"/>
              </w:rPr>
              <w:t xml:space="preserve"> Do 15. studeni     </w:t>
            </w:r>
          </w:p>
          <w:p w14:paraId="60BBFC36" w14:textId="77777777" w:rsidR="00547ADC" w:rsidRPr="00547ADC" w:rsidRDefault="00547ADC" w:rsidP="00547ADC">
            <w:pPr>
              <w:jc w:val="both"/>
              <w:rPr>
                <w:rFonts w:eastAsia="Calibri"/>
                <w:lang w:eastAsia="en-US"/>
              </w:rPr>
            </w:pPr>
            <w:r w:rsidRPr="00547ADC">
              <w:rPr>
                <w:rFonts w:eastAsia="Calibri"/>
                <w:lang w:eastAsia="en-US"/>
              </w:rPr>
              <w:t>2025.</w:t>
            </w:r>
          </w:p>
        </w:tc>
        <w:tc>
          <w:tcPr>
            <w:tcW w:w="3822" w:type="dxa"/>
            <w:tcBorders>
              <w:top w:val="single" w:sz="4" w:space="0" w:color="auto"/>
              <w:left w:val="single" w:sz="4" w:space="0" w:color="auto"/>
              <w:bottom w:val="single" w:sz="4" w:space="0" w:color="auto"/>
              <w:right w:val="single" w:sz="4" w:space="0" w:color="auto"/>
            </w:tcBorders>
          </w:tcPr>
          <w:p w14:paraId="26C79B94" w14:textId="77777777" w:rsidR="00547ADC" w:rsidRPr="00547ADC" w:rsidRDefault="00547ADC" w:rsidP="00547ADC">
            <w:pPr>
              <w:jc w:val="both"/>
              <w:rPr>
                <w:rFonts w:eastAsia="Calibri"/>
                <w:lang w:eastAsia="en-US"/>
              </w:rPr>
            </w:pPr>
            <w:r w:rsidRPr="00547ADC">
              <w:rPr>
                <w:rFonts w:eastAsia="Calibri"/>
                <w:lang w:eastAsia="en-US"/>
              </w:rPr>
              <w:t>Načelnik utvrđuje prijedlog proračuna i podnosi ga Općinskom vijeću na donošenje.</w:t>
            </w:r>
          </w:p>
          <w:p w14:paraId="52A84F30" w14:textId="77777777" w:rsidR="00547ADC" w:rsidRPr="00547ADC" w:rsidRDefault="00547ADC" w:rsidP="00547ADC">
            <w:pPr>
              <w:jc w:val="both"/>
              <w:rPr>
                <w:rFonts w:eastAsia="Calibri"/>
                <w:lang w:eastAsia="en-US"/>
              </w:rPr>
            </w:pPr>
          </w:p>
        </w:tc>
      </w:tr>
      <w:tr w:rsidR="00547ADC" w:rsidRPr="00547ADC" w14:paraId="2DEC1D9B" w14:textId="77777777" w:rsidTr="008171CD">
        <w:tc>
          <w:tcPr>
            <w:tcW w:w="1414" w:type="dxa"/>
            <w:tcBorders>
              <w:top w:val="single" w:sz="4" w:space="0" w:color="auto"/>
              <w:left w:val="single" w:sz="4" w:space="0" w:color="auto"/>
              <w:bottom w:val="single" w:sz="4" w:space="0" w:color="auto"/>
              <w:right w:val="single" w:sz="4" w:space="0" w:color="auto"/>
            </w:tcBorders>
          </w:tcPr>
          <w:p w14:paraId="035B0867" w14:textId="77777777" w:rsidR="00547ADC" w:rsidRPr="00547ADC" w:rsidRDefault="00547ADC" w:rsidP="00547ADC">
            <w:pPr>
              <w:jc w:val="both"/>
              <w:rPr>
                <w:rFonts w:eastAsia="Calibri"/>
                <w:lang w:eastAsia="en-US"/>
              </w:rPr>
            </w:pPr>
            <w:r w:rsidRPr="00547ADC">
              <w:rPr>
                <w:rFonts w:eastAsia="Calibri"/>
                <w:lang w:eastAsia="en-US"/>
              </w:rPr>
              <w:t>Općinsko vijeće</w:t>
            </w:r>
          </w:p>
        </w:tc>
        <w:tc>
          <w:tcPr>
            <w:tcW w:w="1821" w:type="dxa"/>
            <w:tcBorders>
              <w:top w:val="single" w:sz="4" w:space="0" w:color="auto"/>
              <w:left w:val="single" w:sz="4" w:space="0" w:color="auto"/>
              <w:bottom w:val="single" w:sz="4" w:space="0" w:color="auto"/>
              <w:right w:val="single" w:sz="4" w:space="0" w:color="auto"/>
            </w:tcBorders>
          </w:tcPr>
          <w:p w14:paraId="565E008D" w14:textId="77777777" w:rsidR="00547ADC" w:rsidRPr="00547ADC" w:rsidRDefault="00547ADC" w:rsidP="00547ADC">
            <w:pPr>
              <w:jc w:val="both"/>
              <w:rPr>
                <w:rFonts w:eastAsia="Calibri"/>
                <w:lang w:eastAsia="en-US"/>
              </w:rPr>
            </w:pPr>
          </w:p>
        </w:tc>
        <w:tc>
          <w:tcPr>
            <w:tcW w:w="1959" w:type="dxa"/>
            <w:tcBorders>
              <w:top w:val="single" w:sz="4" w:space="0" w:color="auto"/>
              <w:left w:val="single" w:sz="4" w:space="0" w:color="auto"/>
              <w:bottom w:val="single" w:sz="4" w:space="0" w:color="auto"/>
              <w:right w:val="single" w:sz="4" w:space="0" w:color="auto"/>
            </w:tcBorders>
          </w:tcPr>
          <w:p w14:paraId="6F4816B5" w14:textId="77777777" w:rsidR="00547ADC" w:rsidRPr="00547ADC" w:rsidRDefault="00547ADC" w:rsidP="00547ADC">
            <w:pPr>
              <w:jc w:val="both"/>
              <w:rPr>
                <w:rFonts w:eastAsia="Calibri"/>
                <w:lang w:eastAsia="en-US"/>
              </w:rPr>
            </w:pPr>
            <w:r w:rsidRPr="00547ADC">
              <w:rPr>
                <w:rFonts w:eastAsia="Calibri"/>
                <w:lang w:eastAsia="en-US"/>
              </w:rPr>
              <w:t>Do konca 2025.</w:t>
            </w:r>
          </w:p>
        </w:tc>
        <w:tc>
          <w:tcPr>
            <w:tcW w:w="3822" w:type="dxa"/>
            <w:tcBorders>
              <w:top w:val="single" w:sz="4" w:space="0" w:color="auto"/>
              <w:left w:val="single" w:sz="4" w:space="0" w:color="auto"/>
              <w:bottom w:val="single" w:sz="4" w:space="0" w:color="auto"/>
              <w:right w:val="single" w:sz="4" w:space="0" w:color="auto"/>
            </w:tcBorders>
          </w:tcPr>
          <w:p w14:paraId="3B9C16C4" w14:textId="77777777" w:rsidR="00547ADC" w:rsidRPr="00547ADC" w:rsidRDefault="00547ADC" w:rsidP="00547ADC">
            <w:pPr>
              <w:jc w:val="both"/>
              <w:rPr>
                <w:rFonts w:eastAsia="Calibri"/>
                <w:lang w:eastAsia="en-US"/>
              </w:rPr>
            </w:pPr>
            <w:r w:rsidRPr="00547ADC">
              <w:rPr>
                <w:rFonts w:eastAsia="Calibri"/>
                <w:lang w:eastAsia="en-US"/>
              </w:rPr>
              <w:t>Općinsko vijeće donosi proračun za 2026. i projekcije za 2027. i 2028. do konca 2025., u roku koji omogućuje primjenu proračuna od 1. siječnja 2026.</w:t>
            </w:r>
          </w:p>
          <w:p w14:paraId="6E221E2A" w14:textId="77777777" w:rsidR="00547ADC" w:rsidRPr="00547ADC" w:rsidRDefault="00547ADC" w:rsidP="00547ADC">
            <w:pPr>
              <w:jc w:val="both"/>
              <w:rPr>
                <w:rFonts w:eastAsia="Calibri"/>
                <w:lang w:eastAsia="en-US"/>
              </w:rPr>
            </w:pPr>
          </w:p>
        </w:tc>
      </w:tr>
    </w:tbl>
    <w:p w14:paraId="56388FF6" w14:textId="77777777" w:rsidR="00547ADC" w:rsidRPr="00547ADC" w:rsidRDefault="00547ADC" w:rsidP="00547ADC">
      <w:pPr>
        <w:spacing w:line="276" w:lineRule="auto"/>
        <w:jc w:val="both"/>
        <w:rPr>
          <w:rFonts w:ascii="Calibri" w:eastAsia="Calibri" w:hAnsi="Calibri"/>
          <w:sz w:val="22"/>
          <w:szCs w:val="22"/>
          <w:lang w:eastAsia="en-US"/>
        </w:rPr>
      </w:pPr>
    </w:p>
    <w:p w14:paraId="52F7A33D" w14:textId="77777777" w:rsidR="00547ADC" w:rsidRPr="00547ADC" w:rsidRDefault="00547ADC" w:rsidP="00547ADC">
      <w:pPr>
        <w:ind w:firstLine="708"/>
        <w:jc w:val="both"/>
        <w:rPr>
          <w:rFonts w:eastAsia="Calibri"/>
          <w:lang w:eastAsia="en-US"/>
        </w:rPr>
      </w:pPr>
      <w:r w:rsidRPr="00547ADC">
        <w:rPr>
          <w:rFonts w:eastAsia="Calibri"/>
          <w:lang w:eastAsia="en-US"/>
        </w:rPr>
        <w:t>U slučaju da postoje razlike u financijskom planu proračunskog korisnika sadržanom u proračunu, kojeg je donijelo Općinsko vijeće, u odnosu na već usvojeni prijedlog financijskog plana od strane upravljačkog tijela, tada je upravno tijelo dužno obavijestiti proračunskog korisnika o promjenama financijskog plana koji je sadržan u proračunu u odnosu na usvojeni prijedlog financijskog plana. Ako dođe do navedene situacije, upravljačko tijelo usvaja financijski plan koji je sadržan u proračunu kojeg je donijelo Općinsko vijeće.</w:t>
      </w:r>
    </w:p>
    <w:p w14:paraId="4F0570D1" w14:textId="77777777" w:rsidR="00547ADC" w:rsidRDefault="00547ADC" w:rsidP="00547ADC">
      <w:pPr>
        <w:jc w:val="both"/>
        <w:rPr>
          <w:color w:val="000000" w:themeColor="text1"/>
        </w:rPr>
      </w:pPr>
    </w:p>
    <w:p w14:paraId="5E73B022" w14:textId="77777777" w:rsidR="000B2613" w:rsidRDefault="000B2613" w:rsidP="002B3CD3">
      <w:pPr>
        <w:pStyle w:val="Naslov1"/>
        <w:rPr>
          <w:rFonts w:eastAsia="Calibri"/>
        </w:rPr>
      </w:pPr>
      <w:bookmarkStart w:id="17" w:name="_Toc211859581"/>
      <w:bookmarkStart w:id="18" w:name="_Toc211859975"/>
      <w:r w:rsidRPr="000B2613">
        <w:rPr>
          <w:rFonts w:eastAsia="Calibri"/>
        </w:rPr>
        <w:t>6. TRANSPARENTNOST</w:t>
      </w:r>
      <w:bookmarkEnd w:id="17"/>
      <w:bookmarkEnd w:id="18"/>
    </w:p>
    <w:p w14:paraId="6AE3311D" w14:textId="77777777" w:rsidR="000B2613" w:rsidRPr="000B2613" w:rsidRDefault="000B2613" w:rsidP="000B2613">
      <w:pPr>
        <w:spacing w:after="200" w:line="276" w:lineRule="auto"/>
        <w:ind w:left="283"/>
        <w:contextualSpacing/>
        <w:jc w:val="both"/>
        <w:rPr>
          <w:rFonts w:eastAsia="Calibri"/>
          <w:b/>
          <w:lang w:eastAsia="en-US"/>
        </w:rPr>
      </w:pPr>
    </w:p>
    <w:p w14:paraId="1738FAB2" w14:textId="77777777" w:rsidR="000B2613" w:rsidRPr="000B2613" w:rsidRDefault="000B2613" w:rsidP="000B2613">
      <w:pPr>
        <w:spacing w:after="200"/>
        <w:jc w:val="both"/>
        <w:rPr>
          <w:rFonts w:eastAsia="Calibri"/>
          <w:lang w:eastAsia="en-US"/>
        </w:rPr>
      </w:pPr>
      <w:r w:rsidRPr="000B2613">
        <w:rPr>
          <w:rFonts w:eastAsia="Calibri"/>
          <w:b/>
          <w:lang w:eastAsia="en-US"/>
        </w:rPr>
        <w:t xml:space="preserve">    </w:t>
      </w:r>
      <w:r w:rsidRPr="000B2613">
        <w:rPr>
          <w:rFonts w:eastAsia="Calibri"/>
          <w:lang w:eastAsia="en-US"/>
        </w:rPr>
        <w:t xml:space="preserve">  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w:t>
      </w:r>
    </w:p>
    <w:p w14:paraId="7FF6392E" w14:textId="77777777" w:rsidR="000B2613" w:rsidRPr="000B2613" w:rsidRDefault="000B2613" w:rsidP="000B2613">
      <w:pPr>
        <w:spacing w:after="200"/>
        <w:jc w:val="both"/>
        <w:rPr>
          <w:rFonts w:eastAsia="Calibri"/>
          <w:lang w:eastAsia="en-US"/>
        </w:rPr>
      </w:pPr>
      <w:r w:rsidRPr="000B2613">
        <w:rPr>
          <w:rFonts w:eastAsia="Calibri"/>
          <w:lang w:eastAsia="en-US"/>
        </w:rPr>
        <w:t xml:space="preserve">     Obaveze vezano za transparentnost sukladno odredbama članka 144. Zakona o proračunu:</w:t>
      </w:r>
    </w:p>
    <w:p w14:paraId="23FC9498" w14:textId="77777777" w:rsidR="000B2613" w:rsidRPr="000B2613" w:rsidRDefault="000B2613" w:rsidP="000B2613">
      <w:pPr>
        <w:numPr>
          <w:ilvl w:val="0"/>
          <w:numId w:val="7"/>
        </w:numPr>
        <w:spacing w:after="200"/>
        <w:contextualSpacing/>
        <w:jc w:val="both"/>
        <w:rPr>
          <w:rFonts w:eastAsia="Calibri"/>
          <w:lang w:eastAsia="en-US"/>
        </w:rPr>
      </w:pPr>
      <w:r w:rsidRPr="000B2613">
        <w:rPr>
          <w:rFonts w:eastAsia="Calibri"/>
          <w:lang w:eastAsia="en-US"/>
        </w:rPr>
        <w:t>Proračun i izmjene i dopune proračuna, odluka o privremenom financiranju, odluka i izmjene i dopune odluke o izvršavanju proračuna Općine, polugodišnji i godišnji izvještaj o izvršenju Proračuna Općine objavljuju se na mrežnim stranicama Općine;</w:t>
      </w:r>
    </w:p>
    <w:p w14:paraId="2BDD60DD" w14:textId="77777777" w:rsidR="000B2613" w:rsidRPr="000B2613" w:rsidRDefault="000B2613" w:rsidP="000B2613">
      <w:pPr>
        <w:numPr>
          <w:ilvl w:val="0"/>
          <w:numId w:val="7"/>
        </w:numPr>
        <w:spacing w:before="100" w:beforeAutospacing="1" w:after="100" w:afterAutospacing="1"/>
        <w:jc w:val="both"/>
      </w:pPr>
      <w:r w:rsidRPr="000B2613">
        <w:t>Financijski plan i izmjene i dopune financijskog plana, polugodišnji i godišnji izvještaji o izvršenju financijskog plana proračunskog korisnika objavljuje se na mrežnim  stranicama Proračunskog korisnika,</w:t>
      </w:r>
    </w:p>
    <w:p w14:paraId="66D9C95C" w14:textId="6C37F9C9" w:rsidR="000B2613" w:rsidRPr="000B2613" w:rsidRDefault="000B2613" w:rsidP="000B2613">
      <w:pPr>
        <w:numPr>
          <w:ilvl w:val="0"/>
          <w:numId w:val="7"/>
        </w:numPr>
        <w:spacing w:before="100" w:beforeAutospacing="1" w:after="100" w:afterAutospacing="1"/>
        <w:jc w:val="both"/>
      </w:pPr>
      <w:r w:rsidRPr="000B2613">
        <w:t>Opći i posebni dio proračuna, odluka o izvršavanju proračuna Općine, izmjene i dopune proračuna te izmjene i dopune odluke o izvršavanju proračuna, odluka o privremenom financiranju, te opći i posebni dio polugodišnjeg i godišnjeg izvještaja o izvršenju proračuna Općine objavljuje se u Službenom glasniku</w:t>
      </w:r>
      <w:r w:rsidR="00C45301">
        <w:t xml:space="preserve"> Krapinsko-zagorske županije</w:t>
      </w:r>
      <w:r w:rsidRPr="000B2613">
        <w:t>.</w:t>
      </w:r>
    </w:p>
    <w:p w14:paraId="4C0ECEC6" w14:textId="77777777" w:rsidR="000B2613" w:rsidRPr="000B2613" w:rsidRDefault="000B2613" w:rsidP="000B2613">
      <w:pPr>
        <w:numPr>
          <w:ilvl w:val="0"/>
          <w:numId w:val="7"/>
        </w:numPr>
        <w:spacing w:before="100" w:beforeAutospacing="1" w:after="100" w:afterAutospacing="1"/>
        <w:jc w:val="both"/>
      </w:pPr>
      <w:r w:rsidRPr="000B2613">
        <w:t>Vodič za građane o proračunu, izmjenama i dopunama proračuna te  polugodišnjem i godišnjem izvještaju o izvršenju proračuna objavljuje se na mrežnim stranicama Općine.</w:t>
      </w:r>
    </w:p>
    <w:p w14:paraId="6F1F6189" w14:textId="76B15D18" w:rsidR="000B2613" w:rsidRDefault="000B2613" w:rsidP="000B2613">
      <w:pPr>
        <w:autoSpaceDE w:val="0"/>
        <w:autoSpaceDN w:val="0"/>
        <w:adjustRightInd w:val="0"/>
        <w:ind w:firstLine="360"/>
        <w:jc w:val="both"/>
        <w:rPr>
          <w:rFonts w:eastAsia="Calibri"/>
          <w:lang w:eastAsia="en-US"/>
        </w:rPr>
      </w:pPr>
      <w:r w:rsidRPr="000B2613">
        <w:rPr>
          <w:rFonts w:eastAsia="Calibri"/>
          <w:lang w:eastAsia="en-US"/>
        </w:rPr>
        <w:t xml:space="preserve">Ministar financija je, sukladno članku 144. Zakona o proračunu, u svibnju 2023. godine donio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po kojem Općina i njen proračunski korisnik Dječji vrtić </w:t>
      </w:r>
      <w:r>
        <w:rPr>
          <w:rFonts w:eastAsia="Calibri"/>
          <w:lang w:eastAsia="en-US"/>
        </w:rPr>
        <w:t>Jurek</w:t>
      </w:r>
      <w:r w:rsidRPr="000B2613">
        <w:rPr>
          <w:rFonts w:eastAsia="Calibri"/>
          <w:lang w:eastAsia="en-US"/>
        </w:rPr>
        <w:t xml:space="preserve"> postupaju.</w:t>
      </w:r>
    </w:p>
    <w:p w14:paraId="6B763AB4" w14:textId="77777777" w:rsidR="000B2613" w:rsidRPr="000B2613" w:rsidRDefault="000B2613" w:rsidP="000B2613">
      <w:pPr>
        <w:autoSpaceDE w:val="0"/>
        <w:autoSpaceDN w:val="0"/>
        <w:adjustRightInd w:val="0"/>
        <w:ind w:firstLine="360"/>
        <w:jc w:val="both"/>
        <w:rPr>
          <w:rFonts w:eastAsia="Calibri"/>
          <w:lang w:eastAsia="en-US"/>
        </w:rPr>
      </w:pPr>
    </w:p>
    <w:p w14:paraId="21EDBC48" w14:textId="77777777" w:rsidR="000B2613" w:rsidRPr="000B2613" w:rsidRDefault="000B2613" w:rsidP="002B3CD3">
      <w:pPr>
        <w:pStyle w:val="Naslov1"/>
        <w:rPr>
          <w:rFonts w:eastAsia="Calibri"/>
        </w:rPr>
      </w:pPr>
      <w:bookmarkStart w:id="19" w:name="_Toc211859582"/>
      <w:bookmarkStart w:id="20" w:name="_Toc211859976"/>
      <w:r w:rsidRPr="000B2613">
        <w:rPr>
          <w:rFonts w:eastAsia="Calibri"/>
        </w:rPr>
        <w:lastRenderedPageBreak/>
        <w:t>7.  NOVOSTI U PRIMJENI U PRORAČUNSKIM PROCESIMA OD 2026.</w:t>
      </w:r>
      <w:bookmarkEnd w:id="19"/>
      <w:bookmarkEnd w:id="20"/>
    </w:p>
    <w:p w14:paraId="385CE535" w14:textId="77777777" w:rsidR="000B2613" w:rsidRPr="000B2613" w:rsidRDefault="000B2613" w:rsidP="000B2613">
      <w:pPr>
        <w:jc w:val="both"/>
        <w:rPr>
          <w:rFonts w:eastAsia="Calibri"/>
          <w:lang w:eastAsia="en-US"/>
        </w:rPr>
      </w:pPr>
    </w:p>
    <w:p w14:paraId="5ED1EDEE" w14:textId="77777777" w:rsidR="000B2613" w:rsidRPr="000B2613" w:rsidRDefault="000B2613" w:rsidP="00C45301">
      <w:pPr>
        <w:ind w:firstLine="708"/>
        <w:jc w:val="both"/>
        <w:rPr>
          <w:rFonts w:eastAsia="Calibri"/>
          <w:bCs/>
          <w:lang w:eastAsia="en-US"/>
        </w:rPr>
      </w:pPr>
      <w:r w:rsidRPr="000B2613">
        <w:rPr>
          <w:rFonts w:eastAsia="Calibri"/>
          <w:bCs/>
          <w:lang w:eastAsia="en-US"/>
        </w:rPr>
        <w:t>Pravilnik o korištenju sredstava EU je u primjeni je od 01.01.2025., a u Uputi Ministarstva financija KLASA:910-04/25-01/8, UBROJ:513-05-05-25-1 od 19. svibnja 2025. određene su oznake izvora financiranja za EU sredstva koja se iz državnog proračuna prenose proračunskim i izvanproračunskim korisnicima državnog proračuna, jedinicama lokalne i područne (regionalne) samouprave. Ovom uputom određene su i dodatne analitičke razine izvora financiranja na 5. razini, a i Uputa o tumačenju knjiženja viška/manjka po EU izvorima  također treba biti donesena.</w:t>
      </w:r>
    </w:p>
    <w:p w14:paraId="36A1AED6" w14:textId="77777777" w:rsidR="000B2613" w:rsidRPr="000B2613" w:rsidRDefault="000B2613" w:rsidP="000B2613">
      <w:pPr>
        <w:jc w:val="both"/>
        <w:rPr>
          <w:rFonts w:eastAsia="Calibri"/>
          <w:bCs/>
          <w:lang w:eastAsia="en-US"/>
        </w:rPr>
      </w:pPr>
    </w:p>
    <w:p w14:paraId="73BD0661" w14:textId="77777777" w:rsidR="000B2613" w:rsidRPr="000B2613" w:rsidRDefault="000B2613" w:rsidP="002B3CD3">
      <w:pPr>
        <w:pStyle w:val="Naslov1"/>
        <w:rPr>
          <w:rFonts w:eastAsia="Calibri"/>
        </w:rPr>
      </w:pPr>
      <w:r w:rsidRPr="000B2613">
        <w:rPr>
          <w:rFonts w:eastAsia="Calibri"/>
        </w:rPr>
        <w:t xml:space="preserve">     </w:t>
      </w:r>
      <w:bookmarkStart w:id="21" w:name="_Toc211859583"/>
      <w:bookmarkStart w:id="22" w:name="_Toc211859977"/>
      <w:r w:rsidRPr="000B2613">
        <w:rPr>
          <w:rFonts w:eastAsia="Calibri"/>
        </w:rPr>
        <w:t>8.  DOSTAVA DOKUMENATA I DOSTUPNOST MATERIJALA NA MREŽNOJ STRANICI</w:t>
      </w:r>
      <w:bookmarkEnd w:id="21"/>
      <w:bookmarkEnd w:id="22"/>
    </w:p>
    <w:p w14:paraId="35AAB1BF" w14:textId="2BD82A88" w:rsidR="000B2613" w:rsidRDefault="004B5E07" w:rsidP="004B5E07">
      <w:pPr>
        <w:pStyle w:val="Naslov2"/>
        <w:rPr>
          <w:rFonts w:eastAsia="Calibri"/>
          <w:b/>
          <w:bCs/>
        </w:rPr>
      </w:pPr>
      <w:bookmarkStart w:id="23" w:name="_Toc211859978"/>
      <w:r w:rsidRPr="004B5E07">
        <w:rPr>
          <w:rFonts w:eastAsia="Calibri"/>
          <w:b/>
          <w:bCs/>
        </w:rPr>
        <w:t xml:space="preserve">8.1. </w:t>
      </w:r>
      <w:r w:rsidR="000B2613" w:rsidRPr="004B5E07">
        <w:rPr>
          <w:rFonts w:eastAsia="Calibri"/>
          <w:b/>
          <w:bCs/>
        </w:rPr>
        <w:t>Dostava proračunskih dokumenata Ministarstvu financija i Državnom uredu za reviziju</w:t>
      </w:r>
      <w:bookmarkEnd w:id="23"/>
    </w:p>
    <w:p w14:paraId="29CE6108" w14:textId="77777777" w:rsidR="004B5E07" w:rsidRPr="004B5E07" w:rsidRDefault="004B5E07" w:rsidP="004B5E07">
      <w:pPr>
        <w:rPr>
          <w:rFonts w:eastAsia="Calibri"/>
          <w:lang w:val="en-AU" w:eastAsia="en-US"/>
        </w:rPr>
      </w:pPr>
    </w:p>
    <w:p w14:paraId="7071C5A0" w14:textId="77777777" w:rsidR="000B2613" w:rsidRPr="000B2613" w:rsidRDefault="000B2613" w:rsidP="00C45301">
      <w:pPr>
        <w:autoSpaceDE w:val="0"/>
        <w:autoSpaceDN w:val="0"/>
        <w:adjustRightInd w:val="0"/>
        <w:spacing w:after="200"/>
        <w:ind w:firstLine="708"/>
        <w:jc w:val="both"/>
        <w:rPr>
          <w:rFonts w:eastAsia="Calibri"/>
          <w:color w:val="000000"/>
          <w:lang w:eastAsia="en-US"/>
        </w:rPr>
      </w:pPr>
      <w:r w:rsidRPr="000B2613">
        <w:rPr>
          <w:rFonts w:eastAsia="Calibri"/>
          <w:bCs/>
          <w:color w:val="000000"/>
          <w:lang w:eastAsia="en-US"/>
        </w:rPr>
        <w:t xml:space="preserve">Sukladno odredbama članka 43. Zakona o proračunu, </w:t>
      </w:r>
      <w:r w:rsidRPr="000B2613">
        <w:rPr>
          <w:rFonts w:eastAsia="Calibri"/>
          <w:color w:val="000000"/>
          <w:lang w:eastAsia="en-US"/>
        </w:rPr>
        <w:t>načelnik, gradonačelnik i župan obvezni su dostaviti Ministarstvu financija sljedeće akte:</w:t>
      </w:r>
    </w:p>
    <w:p w14:paraId="57B771C7"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color w:val="000000"/>
          <w:lang w:eastAsia="en-US"/>
        </w:rPr>
        <w:t>- proračun za proračunsku godinu i projekcije za sljedeće dvije godine,</w:t>
      </w:r>
    </w:p>
    <w:p w14:paraId="3394B370"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color w:val="000000"/>
          <w:lang w:eastAsia="en-US"/>
        </w:rPr>
        <w:t>- odluku o izvršavanju proračuna jedinice lokalne i područne (regionalne) samouprave,</w:t>
      </w:r>
    </w:p>
    <w:p w14:paraId="6AB4A8DA"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color w:val="000000"/>
          <w:lang w:eastAsia="en-US"/>
        </w:rPr>
        <w:t>- izmjene i dopune proračuna te</w:t>
      </w:r>
    </w:p>
    <w:p w14:paraId="2FBE92E1"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color w:val="000000"/>
          <w:lang w:eastAsia="en-US"/>
        </w:rPr>
        <w:t>- izmjene i dopune odluke o izvršavanju proračuna jedinice lokalne i područne (regionalne) samouprave.</w:t>
      </w:r>
    </w:p>
    <w:p w14:paraId="3D1599DB" w14:textId="77777777" w:rsidR="000B2613" w:rsidRPr="000B2613" w:rsidRDefault="000B2613" w:rsidP="00C45301">
      <w:pPr>
        <w:autoSpaceDE w:val="0"/>
        <w:autoSpaceDN w:val="0"/>
        <w:adjustRightInd w:val="0"/>
        <w:spacing w:after="200"/>
        <w:ind w:firstLine="708"/>
        <w:jc w:val="both"/>
        <w:rPr>
          <w:rFonts w:eastAsia="Calibri"/>
          <w:color w:val="000000"/>
          <w:lang w:eastAsia="en-US"/>
        </w:rPr>
      </w:pPr>
      <w:r w:rsidRPr="000B2613">
        <w:rPr>
          <w:rFonts w:eastAsia="Calibri"/>
          <w:color w:val="000000"/>
          <w:lang w:eastAsia="en-US"/>
        </w:rPr>
        <w:t>Načelnik, gradonačelnik i župan su navedene akte, sukladno navedenim zakonskim odredbama, obvezni dostaviti Ministarstvu financija u roku od 15 dana od dana njihova stupanja na snagu.</w:t>
      </w:r>
    </w:p>
    <w:p w14:paraId="00BC316B" w14:textId="77777777" w:rsidR="000B2613" w:rsidRPr="000B2613" w:rsidRDefault="000B2613" w:rsidP="00C45301">
      <w:pPr>
        <w:autoSpaceDE w:val="0"/>
        <w:autoSpaceDN w:val="0"/>
        <w:adjustRightInd w:val="0"/>
        <w:spacing w:after="200"/>
        <w:ind w:firstLine="708"/>
        <w:jc w:val="both"/>
        <w:rPr>
          <w:rFonts w:eastAsia="Calibri"/>
          <w:color w:val="000000"/>
          <w:lang w:eastAsia="en-US"/>
        </w:rPr>
      </w:pPr>
      <w:r w:rsidRPr="000B2613">
        <w:rPr>
          <w:rFonts w:eastAsia="Calibri"/>
          <w:bCs/>
          <w:color w:val="000000"/>
          <w:lang w:eastAsia="en-US"/>
        </w:rPr>
        <w:t>Jedinice su u obvezi na adresu e-pošte Ministarstva financija lokalni.proracuni@mfin.hr poslati link na navedene dokumente objavljene u službenom glasilu, u roku od 15 dana od dana njihova stupanja na snagu.</w:t>
      </w:r>
    </w:p>
    <w:p w14:paraId="4EC07497" w14:textId="77777777" w:rsidR="000B2613" w:rsidRPr="000B2613" w:rsidRDefault="000B2613" w:rsidP="00C45301">
      <w:pPr>
        <w:autoSpaceDE w:val="0"/>
        <w:autoSpaceDN w:val="0"/>
        <w:adjustRightInd w:val="0"/>
        <w:spacing w:after="200"/>
        <w:ind w:firstLine="708"/>
        <w:jc w:val="both"/>
        <w:rPr>
          <w:rFonts w:eastAsia="Calibri"/>
          <w:color w:val="000000"/>
          <w:lang w:eastAsia="en-US"/>
        </w:rPr>
      </w:pPr>
      <w:r w:rsidRPr="000B2613">
        <w:rPr>
          <w:rFonts w:eastAsia="Calibri"/>
          <w:bCs/>
          <w:color w:val="000000"/>
          <w:lang w:eastAsia="en-US"/>
        </w:rPr>
        <w:t>Sukladno odredbama članka 90. Zakona o proračunu,</w:t>
      </w:r>
      <w:r w:rsidRPr="000B2613">
        <w:rPr>
          <w:rFonts w:eastAsia="Calibri"/>
          <w:b/>
          <w:bCs/>
          <w:color w:val="000000"/>
          <w:lang w:eastAsia="en-US"/>
        </w:rPr>
        <w:t xml:space="preserve"> </w:t>
      </w:r>
      <w:r w:rsidRPr="000B2613">
        <w:rPr>
          <w:rFonts w:eastAsia="Calibri"/>
          <w:color w:val="000000"/>
          <w:lang w:eastAsia="en-US"/>
        </w:rPr>
        <w:t>godišnji izvještaj o izvršenju proračuna jedinice lokalne i područne (regionalne) samouprave dostavljaju Ministarstvu financija i Državnom uredu za reviziju u roku od 15 dana nakon što ga donese predstavničko tijelo jedinice lokalne i područne (regionalne) samouprave. Iznimno, ako predstavničko tijelo ne donese izvještaj o izvršenju proračuna jedinice, u tom slučaju se izvještaj o izvršenju proračuna jedinice dostavlja Ministarstvu financija i Državnom uredu za reviziju u roku od 60 dana od dana podnošenja predstavničkom tijelu.</w:t>
      </w:r>
    </w:p>
    <w:p w14:paraId="4845B0D4" w14:textId="77777777" w:rsidR="000B2613" w:rsidRPr="000B2613" w:rsidRDefault="000B2613" w:rsidP="00C45301">
      <w:pPr>
        <w:autoSpaceDE w:val="0"/>
        <w:autoSpaceDN w:val="0"/>
        <w:adjustRightInd w:val="0"/>
        <w:spacing w:after="200"/>
        <w:ind w:firstLine="708"/>
        <w:jc w:val="both"/>
        <w:rPr>
          <w:rFonts w:eastAsia="Calibri"/>
          <w:color w:val="000000"/>
          <w:lang w:eastAsia="en-US"/>
        </w:rPr>
      </w:pPr>
      <w:r w:rsidRPr="000B2613">
        <w:rPr>
          <w:rFonts w:eastAsia="Calibri"/>
          <w:bCs/>
          <w:color w:val="000000"/>
          <w:lang w:eastAsia="en-US"/>
        </w:rPr>
        <w:t xml:space="preserve">Jedinice su u obvezi na adresu e-pošte Ministarstva financija lokalni.proracuni@mfin.hr </w:t>
      </w:r>
      <w:r w:rsidRPr="000B2613">
        <w:rPr>
          <w:rFonts w:eastAsia="Calibri"/>
          <w:color w:val="000000"/>
          <w:lang w:eastAsia="en-US"/>
        </w:rPr>
        <w:t xml:space="preserve">poslati </w:t>
      </w:r>
      <w:r w:rsidRPr="000B2613">
        <w:rPr>
          <w:rFonts w:eastAsia="Calibri"/>
          <w:color w:val="000000"/>
          <w:u w:val="single"/>
          <w:lang w:eastAsia="en-US"/>
        </w:rPr>
        <w:t>link</w:t>
      </w:r>
      <w:r w:rsidRPr="000B2613">
        <w:rPr>
          <w:rFonts w:eastAsia="Calibri"/>
          <w:color w:val="000000"/>
          <w:lang w:eastAsia="en-US"/>
        </w:rPr>
        <w:t xml:space="preserve"> na mrežnu stranicu jedinice lokalne i područne (regionalne) samouprave na kojoj je objavljen godišnji izvještaj o izvršenju proračuna jedinice lokalne i područne (regionalne) samouprave, u roku od 15 dana nakon donošenja. </w:t>
      </w:r>
    </w:p>
    <w:p w14:paraId="349D9081" w14:textId="77777777" w:rsidR="000B2613" w:rsidRPr="000B2613" w:rsidRDefault="000B2613" w:rsidP="00C45301">
      <w:pPr>
        <w:autoSpaceDE w:val="0"/>
        <w:autoSpaceDN w:val="0"/>
        <w:adjustRightInd w:val="0"/>
        <w:spacing w:after="200"/>
        <w:ind w:firstLine="708"/>
        <w:jc w:val="both"/>
        <w:rPr>
          <w:rFonts w:eastAsia="Calibri"/>
          <w:color w:val="000000"/>
          <w:lang w:eastAsia="en-US"/>
        </w:rPr>
      </w:pPr>
      <w:r w:rsidRPr="000B2613">
        <w:rPr>
          <w:rFonts w:eastAsia="Calibri"/>
          <w:bCs/>
          <w:color w:val="000000"/>
          <w:lang w:eastAsia="en-US"/>
        </w:rPr>
        <w:t xml:space="preserve">Godišnje izvještaje o izvršenju proračuna jedinice lokalne i područne (regionalne) samouprave nije potrebno dostavljati u papirnatom obliku ni Ministarstvu financija niti Državnom uredu za reviziju. </w:t>
      </w:r>
    </w:p>
    <w:p w14:paraId="080AE987" w14:textId="3337740C" w:rsidR="00C45301" w:rsidRPr="000B2613" w:rsidRDefault="000B2613" w:rsidP="008C0D09">
      <w:pPr>
        <w:autoSpaceDE w:val="0"/>
        <w:autoSpaceDN w:val="0"/>
        <w:adjustRightInd w:val="0"/>
        <w:spacing w:after="200"/>
        <w:ind w:firstLine="708"/>
        <w:jc w:val="both"/>
        <w:rPr>
          <w:rFonts w:eastAsia="Calibri"/>
          <w:bCs/>
          <w:lang w:eastAsia="en-US"/>
        </w:rPr>
      </w:pPr>
      <w:r w:rsidRPr="000B2613">
        <w:rPr>
          <w:rFonts w:eastAsia="Calibri"/>
          <w:bCs/>
          <w:lang w:eastAsia="en-US"/>
        </w:rPr>
        <w:t xml:space="preserve">Državnom uredu za reviziju je podatak o linku potrebno dostaviti na e-mail područnog ureda Državnog ureda za reviziju </w:t>
      </w:r>
      <w:hyperlink r:id="rId9" w:history="1">
        <w:r w:rsidR="001F160C" w:rsidRPr="000B2613">
          <w:rPr>
            <w:rStyle w:val="Hiperveza"/>
            <w:rFonts w:eastAsia="Calibri"/>
            <w:bCs/>
            <w:lang w:eastAsia="en-US"/>
          </w:rPr>
          <w:t>dur.</w:t>
        </w:r>
        <w:r w:rsidR="001F160C" w:rsidRPr="00A95EF4">
          <w:rPr>
            <w:rStyle w:val="Hiperveza"/>
            <w:rFonts w:eastAsia="Calibri"/>
            <w:bCs/>
            <w:lang w:eastAsia="en-US"/>
          </w:rPr>
          <w:t>krapina</w:t>
        </w:r>
        <w:r w:rsidR="001F160C" w:rsidRPr="000B2613">
          <w:rPr>
            <w:rStyle w:val="Hiperveza"/>
            <w:rFonts w:eastAsia="Calibri"/>
            <w:bCs/>
            <w:lang w:eastAsia="en-US"/>
          </w:rPr>
          <w:t>@revizija.hr</w:t>
        </w:r>
      </w:hyperlink>
      <w:r w:rsidRPr="000B2613">
        <w:rPr>
          <w:rFonts w:eastAsia="Calibri"/>
          <w:bCs/>
          <w:lang w:eastAsia="en-US"/>
        </w:rPr>
        <w:t xml:space="preserve">. </w:t>
      </w:r>
    </w:p>
    <w:p w14:paraId="5C228E9B" w14:textId="2B97A53C" w:rsidR="000B2613" w:rsidRDefault="004B5E07" w:rsidP="004B5E07">
      <w:pPr>
        <w:pStyle w:val="Naslov2"/>
        <w:rPr>
          <w:rFonts w:eastAsia="Calibri"/>
          <w:b/>
          <w:bCs/>
        </w:rPr>
      </w:pPr>
      <w:bookmarkStart w:id="24" w:name="_Toc211859979"/>
      <w:r w:rsidRPr="004B5E07">
        <w:rPr>
          <w:rFonts w:eastAsia="Calibri"/>
          <w:b/>
          <w:bCs/>
        </w:rPr>
        <w:lastRenderedPageBreak/>
        <w:t xml:space="preserve">8.2. </w:t>
      </w:r>
      <w:r w:rsidR="000B2613" w:rsidRPr="004B5E07">
        <w:rPr>
          <w:rFonts w:eastAsia="Calibri"/>
          <w:b/>
          <w:bCs/>
        </w:rPr>
        <w:t>Dostava proračunskih dokumenata Ministarstvu financija radi nadzora zakonitosti</w:t>
      </w:r>
      <w:bookmarkEnd w:id="24"/>
      <w:r w:rsidR="000B2613" w:rsidRPr="004B5E07">
        <w:rPr>
          <w:rFonts w:eastAsia="Calibri"/>
          <w:b/>
          <w:bCs/>
        </w:rPr>
        <w:t xml:space="preserve"> </w:t>
      </w:r>
    </w:p>
    <w:p w14:paraId="006732C6" w14:textId="77777777" w:rsidR="004B5E07" w:rsidRPr="004B5E07" w:rsidRDefault="004B5E07" w:rsidP="004B5E07">
      <w:pPr>
        <w:rPr>
          <w:rFonts w:eastAsia="Calibri"/>
          <w:lang w:val="en-AU" w:eastAsia="en-US"/>
        </w:rPr>
      </w:pPr>
    </w:p>
    <w:p w14:paraId="34C5C9B2" w14:textId="77777777" w:rsidR="000B2613" w:rsidRPr="000B2613" w:rsidRDefault="000B2613" w:rsidP="00C45301">
      <w:pPr>
        <w:ind w:firstLine="708"/>
        <w:jc w:val="both"/>
        <w:rPr>
          <w:rFonts w:eastAsia="Calibri"/>
          <w:color w:val="000000"/>
          <w:lang w:eastAsia="en-US"/>
        </w:rPr>
      </w:pPr>
      <w:r w:rsidRPr="000B2613">
        <w:rPr>
          <w:rFonts w:eastAsia="Calibri"/>
          <w:color w:val="000000"/>
          <w:lang w:eastAsia="en-US"/>
        </w:rPr>
        <w:t xml:space="preserve">Sukladno članku 79. Zakona o lokalnoj i područnoj (regionalnoj) samoupravi predsjednik predstavničkog tijela jedinice lokalne i područne (regionalne) samouprave dužan je na ocjenu zakonitosti dostaviti statut, poslovnik, proračun ili drugi opći akt nadležnom tijelu državne uprave u čijem je djelokrugu opći akt zajedno sa izvatkom iz zapisnika koji se odnosi na postupak donošenja općeg akta propisan statutom i poslovnikom, u roku od 15 dana od dana donošenja općeg akta. </w:t>
      </w:r>
      <w:r w:rsidRPr="000B2613">
        <w:rPr>
          <w:rFonts w:eastAsia="Calibri"/>
          <w:bCs/>
          <w:color w:val="000000"/>
          <w:lang w:eastAsia="en-US"/>
        </w:rPr>
        <w:t xml:space="preserve">Ministarstvo financija nadležno je za nadzor zakonitosti općih akata iz područja financija i to: </w:t>
      </w:r>
    </w:p>
    <w:p w14:paraId="22D76F08"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bCs/>
          <w:color w:val="000000"/>
          <w:lang w:eastAsia="en-US"/>
        </w:rPr>
        <w:t>1. Proračuna za tekuću proračunsku godinu i projekcije za sljedeće dvije proračunske godine</w:t>
      </w:r>
      <w:r w:rsidRPr="000B2613">
        <w:rPr>
          <w:rFonts w:eastAsia="Calibri"/>
          <w:color w:val="000000"/>
          <w:lang w:eastAsia="en-US"/>
        </w:rPr>
        <w:t>,</w:t>
      </w:r>
    </w:p>
    <w:p w14:paraId="3DCB56AE"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bCs/>
          <w:color w:val="000000"/>
          <w:lang w:eastAsia="en-US"/>
        </w:rPr>
        <w:t>2. Odluke o izvršavanju Proračuna jedinica lokalne i područne regionalne samouprave, te izmjene i dopune navedene odluke</w:t>
      </w:r>
      <w:r w:rsidRPr="000B2613">
        <w:rPr>
          <w:rFonts w:eastAsia="Calibri"/>
          <w:color w:val="000000"/>
          <w:lang w:eastAsia="en-US"/>
        </w:rPr>
        <w:t xml:space="preserve">, </w:t>
      </w:r>
    </w:p>
    <w:p w14:paraId="3CC923B5"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bCs/>
          <w:color w:val="000000"/>
          <w:lang w:eastAsia="en-US"/>
        </w:rPr>
        <w:t xml:space="preserve">3. Izmjena i dopuna Proračuna, </w:t>
      </w:r>
    </w:p>
    <w:p w14:paraId="0B6BB012" w14:textId="77777777" w:rsidR="000B2613" w:rsidRPr="000B2613" w:rsidRDefault="000B2613" w:rsidP="000B2613">
      <w:pPr>
        <w:autoSpaceDE w:val="0"/>
        <w:autoSpaceDN w:val="0"/>
        <w:adjustRightInd w:val="0"/>
        <w:jc w:val="both"/>
        <w:rPr>
          <w:rFonts w:eastAsia="Calibri"/>
          <w:color w:val="000000"/>
          <w:lang w:eastAsia="en-US"/>
        </w:rPr>
      </w:pPr>
      <w:r w:rsidRPr="000B2613">
        <w:rPr>
          <w:rFonts w:eastAsia="Calibri"/>
          <w:bCs/>
          <w:color w:val="000000"/>
          <w:lang w:eastAsia="en-US"/>
        </w:rPr>
        <w:t xml:space="preserve">4. Odluke o privremenom financiranju jedinica lokalne i područne (regionalne) samouprave </w:t>
      </w:r>
      <w:r w:rsidRPr="000B2613">
        <w:rPr>
          <w:rFonts w:eastAsia="Calibri"/>
          <w:color w:val="000000"/>
          <w:lang w:eastAsia="en-US"/>
        </w:rPr>
        <w:t xml:space="preserve">i </w:t>
      </w:r>
    </w:p>
    <w:p w14:paraId="3D4E69CC" w14:textId="77777777" w:rsidR="000B2613" w:rsidRDefault="000B2613" w:rsidP="000B2613">
      <w:pPr>
        <w:autoSpaceDE w:val="0"/>
        <w:autoSpaceDN w:val="0"/>
        <w:adjustRightInd w:val="0"/>
        <w:jc w:val="both"/>
        <w:rPr>
          <w:rFonts w:eastAsia="Calibri"/>
          <w:bCs/>
          <w:color w:val="000000"/>
          <w:lang w:eastAsia="en-US"/>
        </w:rPr>
      </w:pPr>
      <w:r w:rsidRPr="000B2613">
        <w:rPr>
          <w:rFonts w:eastAsia="Calibri"/>
          <w:bCs/>
          <w:color w:val="000000"/>
          <w:lang w:eastAsia="en-US"/>
        </w:rPr>
        <w:t xml:space="preserve">5. Odluke o porezima. </w:t>
      </w:r>
    </w:p>
    <w:p w14:paraId="25CB3E5E" w14:textId="77777777" w:rsidR="00C45301" w:rsidRPr="000B2613" w:rsidRDefault="00C45301" w:rsidP="000B2613">
      <w:pPr>
        <w:autoSpaceDE w:val="0"/>
        <w:autoSpaceDN w:val="0"/>
        <w:adjustRightInd w:val="0"/>
        <w:jc w:val="both"/>
        <w:rPr>
          <w:rFonts w:eastAsia="Calibri"/>
          <w:color w:val="000000"/>
          <w:lang w:eastAsia="en-US"/>
        </w:rPr>
      </w:pPr>
    </w:p>
    <w:p w14:paraId="47703D26" w14:textId="3A1CBF1F" w:rsidR="000B2613" w:rsidRPr="000B2613" w:rsidRDefault="000B2613" w:rsidP="001B1A30">
      <w:pPr>
        <w:autoSpaceDE w:val="0"/>
        <w:autoSpaceDN w:val="0"/>
        <w:adjustRightInd w:val="0"/>
        <w:spacing w:after="200"/>
        <w:ind w:firstLine="708"/>
        <w:jc w:val="both"/>
        <w:rPr>
          <w:rFonts w:eastAsia="Calibri"/>
          <w:color w:val="000000"/>
          <w:lang w:eastAsia="en-US"/>
        </w:rPr>
      </w:pPr>
      <w:r w:rsidRPr="000B2613">
        <w:rPr>
          <w:rFonts w:eastAsia="Calibri"/>
          <w:color w:val="000000"/>
          <w:lang w:eastAsia="en-US"/>
        </w:rPr>
        <w:t xml:space="preserve">Nadzor zakonitosti akata od rednog broja 1. do 4. provodi Sektor za financijski i proračunski nadzor, dok nadzor zakonitosti akta pod rednim brojem 5. provodi Porezna uprava. Jedinice lokalne i područne (regionalne) samouprave u obvezi su proračun, odluku o izvršavanju proračuna, kao i izmjene i dopune proračuna te izmjene i dopune odluke o izvršavanju proračuna jedinica lokalne i područne (regionalne) samouprave dostaviti Ministarstvu financija u roku od 15 dana od dana njihova stupanja na snagu </w:t>
      </w:r>
      <w:r w:rsidRPr="000B2613">
        <w:rPr>
          <w:rFonts w:eastAsia="Calibri"/>
          <w:bCs/>
          <w:color w:val="000000"/>
          <w:lang w:eastAsia="en-US"/>
        </w:rPr>
        <w:t xml:space="preserve">na adresu e-pošte nadzor.zakonitosti@mfin.hr u PDF formatu s potpisom odgovorne osobe i pečatom. U ovom slučaju se ne dostavlja link na stranicu jedince lokalne i područne (regionalne) samouprave već isključivo dokumenti u papirnatom obliku. </w:t>
      </w:r>
    </w:p>
    <w:p w14:paraId="37E6BF36" w14:textId="6DE950CA" w:rsidR="000B2613" w:rsidRDefault="000B2613" w:rsidP="004B5E07">
      <w:pPr>
        <w:pStyle w:val="Naslov2"/>
        <w:rPr>
          <w:rFonts w:eastAsia="Calibri"/>
          <w:b/>
          <w:bCs/>
        </w:rPr>
      </w:pPr>
      <w:r w:rsidRPr="004B5E07">
        <w:rPr>
          <w:rFonts w:eastAsia="Calibri"/>
          <w:b/>
          <w:bCs/>
        </w:rPr>
        <w:t xml:space="preserve"> </w:t>
      </w:r>
      <w:bookmarkStart w:id="25" w:name="_Toc211859980"/>
      <w:r w:rsidR="004B5E07" w:rsidRPr="004B5E07">
        <w:rPr>
          <w:rFonts w:eastAsia="Calibri"/>
          <w:b/>
          <w:bCs/>
        </w:rPr>
        <w:t xml:space="preserve">8.3. </w:t>
      </w:r>
      <w:r w:rsidRPr="004B5E07">
        <w:rPr>
          <w:rFonts w:eastAsia="Calibri"/>
          <w:b/>
          <w:bCs/>
        </w:rPr>
        <w:t>Dostava ugovora te izvješća o zaduženju, danim jamstvima i suglasnostima (Obrazac IZJS - Izvješće o zaduženju / jamstvu / suglasnosti)</w:t>
      </w:r>
      <w:bookmarkEnd w:id="25"/>
      <w:r w:rsidRPr="004B5E07">
        <w:rPr>
          <w:rFonts w:eastAsia="Calibri"/>
          <w:b/>
          <w:bCs/>
        </w:rPr>
        <w:t xml:space="preserve"> </w:t>
      </w:r>
    </w:p>
    <w:p w14:paraId="51522635" w14:textId="77777777" w:rsidR="004B5E07" w:rsidRPr="004B5E07" w:rsidRDefault="004B5E07" w:rsidP="004B5E07">
      <w:pPr>
        <w:rPr>
          <w:rFonts w:eastAsia="Calibri"/>
          <w:lang w:val="en-AU" w:eastAsia="en-US"/>
        </w:rPr>
      </w:pPr>
    </w:p>
    <w:p w14:paraId="2A423D61" w14:textId="77777777" w:rsidR="000B2613" w:rsidRPr="000B2613" w:rsidRDefault="000B2613" w:rsidP="001B1A30">
      <w:pPr>
        <w:autoSpaceDE w:val="0"/>
        <w:autoSpaceDN w:val="0"/>
        <w:adjustRightInd w:val="0"/>
        <w:spacing w:after="200"/>
        <w:ind w:firstLine="708"/>
        <w:jc w:val="both"/>
        <w:rPr>
          <w:rFonts w:eastAsia="Calibri"/>
          <w:i/>
          <w:iCs/>
          <w:color w:val="000000"/>
          <w:lang w:eastAsia="en-US"/>
        </w:rPr>
      </w:pPr>
      <w:r w:rsidRPr="000B2613">
        <w:rPr>
          <w:rFonts w:eastAsia="Calibri"/>
          <w:color w:val="000000"/>
          <w:lang w:eastAsia="en-US"/>
        </w:rPr>
        <w:t xml:space="preserve">Člancima 123., 128. i 130. Zakona o proračunu i Pravilnikom o postupku dugoročnog zaduživanja te davanja jamstava i suglasnosti jedinica lokalne i područne (regionalne) samouprave (Narodne novine, br. 67/22) propisana je obveza i rok dostave Ministarstvu financija ugovora o zaduženju i izvješća o zaduženju, danim jamstvima i suglasnostima na </w:t>
      </w:r>
      <w:r w:rsidRPr="000B2613">
        <w:rPr>
          <w:rFonts w:eastAsia="Calibri"/>
          <w:i/>
          <w:iCs/>
          <w:color w:val="000000"/>
          <w:lang w:eastAsia="en-US"/>
        </w:rPr>
        <w:t xml:space="preserve">Obrascu IZJS - Izvješće o dugoročnom zaduženju / jamstvu / suglasnosti. </w:t>
      </w:r>
    </w:p>
    <w:p w14:paraId="00011DFD" w14:textId="62AEDD99" w:rsidR="001F160C" w:rsidRDefault="000B2613" w:rsidP="001B1A30">
      <w:pPr>
        <w:autoSpaceDE w:val="0"/>
        <w:autoSpaceDN w:val="0"/>
        <w:adjustRightInd w:val="0"/>
        <w:ind w:firstLine="708"/>
        <w:jc w:val="both"/>
        <w:rPr>
          <w:rFonts w:eastAsia="Calibri"/>
          <w:bCs/>
          <w:color w:val="000000"/>
          <w:lang w:eastAsia="en-US"/>
        </w:rPr>
      </w:pPr>
      <w:r w:rsidRPr="000B2613">
        <w:rPr>
          <w:rFonts w:eastAsia="Calibri"/>
          <w:bCs/>
          <w:color w:val="000000"/>
          <w:lang w:eastAsia="en-US"/>
        </w:rPr>
        <w:t>Skenirani ugovori i obrasci IZJS (s potpisom načelnika i s pečatom) dostavljaju se na e-mail adresu Ministarstva financija</w:t>
      </w:r>
      <w:r w:rsidRPr="000B2613">
        <w:rPr>
          <w:rFonts w:eastAsia="Calibri"/>
          <w:b/>
          <w:bCs/>
          <w:color w:val="000000"/>
          <w:lang w:eastAsia="en-US"/>
        </w:rPr>
        <w:t xml:space="preserve"> </w:t>
      </w:r>
      <w:r w:rsidRPr="000B2613">
        <w:rPr>
          <w:rFonts w:eastAsia="Calibri"/>
          <w:bCs/>
          <w:color w:val="000000"/>
          <w:lang w:eastAsia="en-US"/>
        </w:rPr>
        <w:t>lokalni.proracuni@mfin.hr u propisanom roku.</w:t>
      </w:r>
    </w:p>
    <w:p w14:paraId="414B2C2E" w14:textId="77777777" w:rsidR="001B1A30" w:rsidRPr="000B2613" w:rsidRDefault="001B1A30" w:rsidP="001B1A30">
      <w:pPr>
        <w:autoSpaceDE w:val="0"/>
        <w:autoSpaceDN w:val="0"/>
        <w:adjustRightInd w:val="0"/>
        <w:ind w:firstLine="708"/>
        <w:jc w:val="both"/>
        <w:rPr>
          <w:rFonts w:eastAsia="Calibri"/>
          <w:bCs/>
          <w:color w:val="000000"/>
          <w:lang w:eastAsia="en-US"/>
        </w:rPr>
      </w:pPr>
    </w:p>
    <w:p w14:paraId="1C12CB70" w14:textId="71252C2D" w:rsidR="000B2613" w:rsidRPr="000B2613" w:rsidRDefault="000B2613" w:rsidP="001B1A30">
      <w:pPr>
        <w:autoSpaceDE w:val="0"/>
        <w:autoSpaceDN w:val="0"/>
        <w:adjustRightInd w:val="0"/>
        <w:spacing w:after="200"/>
        <w:ind w:firstLine="708"/>
        <w:jc w:val="both"/>
        <w:rPr>
          <w:rFonts w:eastAsia="Calibri"/>
          <w:color w:val="000000"/>
          <w:lang w:eastAsia="en-US"/>
        </w:rPr>
      </w:pPr>
      <w:r w:rsidRPr="000B2613">
        <w:rPr>
          <w:rFonts w:eastAsia="Calibri"/>
          <w:bCs/>
          <w:color w:val="000000"/>
          <w:lang w:eastAsia="en-US"/>
        </w:rPr>
        <w:t xml:space="preserve">DOSTUPNOST MATERIJALA NA MREŽNOJ STRANICI </w:t>
      </w:r>
      <w:r w:rsidRPr="000B2613">
        <w:rPr>
          <w:rFonts w:eastAsia="Calibri"/>
          <w:lang w:eastAsia="en-US"/>
        </w:rPr>
        <w:t xml:space="preserve">na stranicama Općine </w:t>
      </w:r>
      <w:r w:rsidR="001F160C">
        <w:rPr>
          <w:rFonts w:eastAsia="Calibri"/>
          <w:lang w:eastAsia="en-US"/>
        </w:rPr>
        <w:t>Gornja Stubica</w:t>
      </w:r>
      <w:r w:rsidRPr="000B2613">
        <w:rPr>
          <w:rFonts w:eastAsia="Calibri"/>
          <w:lang w:eastAsia="en-US"/>
        </w:rPr>
        <w:t xml:space="preserve"> nalaze se ove Upute za izradu prijedloga proračuna i financijskog plana proračunskog korisnika Općine </w:t>
      </w:r>
      <w:r w:rsidR="001B1A30">
        <w:rPr>
          <w:rFonts w:eastAsia="Calibri"/>
          <w:lang w:eastAsia="en-US"/>
        </w:rPr>
        <w:t>Gornja Stubica</w:t>
      </w:r>
      <w:r w:rsidRPr="000B2613">
        <w:rPr>
          <w:rFonts w:eastAsia="Calibri"/>
          <w:lang w:eastAsia="en-US"/>
        </w:rPr>
        <w:t xml:space="preserve"> za razdoblje 2026. - 2028. godine. </w:t>
      </w:r>
    </w:p>
    <w:p w14:paraId="13AA143B" w14:textId="72E572D2" w:rsidR="00564FC0" w:rsidRPr="001F160C" w:rsidRDefault="000B2613" w:rsidP="001F160C">
      <w:pPr>
        <w:spacing w:after="200"/>
        <w:ind w:left="708"/>
        <w:jc w:val="both"/>
        <w:rPr>
          <w:rFonts w:eastAsia="Calibri"/>
          <w:lang w:eastAsia="en-US"/>
        </w:rPr>
      </w:pPr>
      <w:r w:rsidRPr="000B2613">
        <w:rPr>
          <w:rFonts w:eastAsia="Calibri"/>
          <w:lang w:eastAsia="en-US"/>
        </w:rPr>
        <w:t>Ove upute dostavljaju se proračunskom korisniku.</w:t>
      </w:r>
      <w:r w:rsidR="00305483">
        <w:tab/>
      </w:r>
    </w:p>
    <w:p w14:paraId="40726BEA" w14:textId="77777777" w:rsidR="00305483" w:rsidRPr="005541CF" w:rsidRDefault="00305483" w:rsidP="00305483">
      <w:pPr>
        <w:widowControl w:val="0"/>
        <w:autoSpaceDE w:val="0"/>
        <w:autoSpaceDN w:val="0"/>
        <w:spacing w:line="276" w:lineRule="auto"/>
        <w:ind w:left="3540" w:firstLine="708"/>
        <w:outlineLvl w:val="0"/>
        <w:rPr>
          <w:lang w:val="bs" w:eastAsia="en-US"/>
        </w:rPr>
      </w:pPr>
      <w:bookmarkStart w:id="26" w:name="_Toc211859584"/>
      <w:bookmarkStart w:id="27" w:name="_Toc211859981"/>
      <w:r w:rsidRPr="005541CF">
        <w:rPr>
          <w:lang w:val="bs" w:eastAsia="en-US"/>
        </w:rPr>
        <w:t>Voditeljica Odsjeka za financije i proračun:</w:t>
      </w:r>
      <w:bookmarkEnd w:id="26"/>
      <w:bookmarkEnd w:id="27"/>
    </w:p>
    <w:p w14:paraId="00A2BC10" w14:textId="77777777" w:rsidR="00305483" w:rsidRPr="005541CF" w:rsidRDefault="00305483" w:rsidP="00305483">
      <w:pPr>
        <w:widowControl w:val="0"/>
        <w:autoSpaceDE w:val="0"/>
        <w:autoSpaceDN w:val="0"/>
        <w:spacing w:line="276" w:lineRule="auto"/>
        <w:outlineLvl w:val="0"/>
        <w:rPr>
          <w:lang w:val="bs" w:eastAsia="en-US"/>
        </w:rPr>
      </w:pPr>
      <w:r w:rsidRPr="005541CF">
        <w:rPr>
          <w:lang w:val="bs" w:eastAsia="en-US"/>
        </w:rPr>
        <w:tab/>
      </w:r>
      <w:r w:rsidRPr="005541CF">
        <w:rPr>
          <w:lang w:val="bs" w:eastAsia="en-US"/>
        </w:rPr>
        <w:tab/>
      </w:r>
      <w:r w:rsidRPr="005541CF">
        <w:rPr>
          <w:lang w:val="bs" w:eastAsia="en-US"/>
        </w:rPr>
        <w:tab/>
      </w:r>
      <w:r w:rsidRPr="005541CF">
        <w:rPr>
          <w:lang w:val="bs" w:eastAsia="en-US"/>
        </w:rPr>
        <w:tab/>
      </w:r>
      <w:r w:rsidRPr="005541CF">
        <w:rPr>
          <w:lang w:val="bs" w:eastAsia="en-US"/>
        </w:rPr>
        <w:tab/>
      </w:r>
      <w:r w:rsidRPr="005541CF">
        <w:rPr>
          <w:lang w:val="bs" w:eastAsia="en-US"/>
        </w:rPr>
        <w:tab/>
      </w:r>
      <w:bookmarkStart w:id="28" w:name="_Toc211859585"/>
      <w:bookmarkStart w:id="29" w:name="_Toc211859982"/>
      <w:r w:rsidRPr="005541CF">
        <w:rPr>
          <w:lang w:val="bs" w:eastAsia="en-US"/>
        </w:rPr>
        <w:t>Nikolina Šalković, univ.bacc.oec.</w:t>
      </w:r>
      <w:bookmarkEnd w:id="28"/>
      <w:bookmarkEnd w:id="29"/>
    </w:p>
    <w:p w14:paraId="6B4382AA" w14:textId="77777777" w:rsidR="00305483" w:rsidRDefault="00305483" w:rsidP="00B03A57">
      <w:pPr>
        <w:spacing w:line="276" w:lineRule="auto"/>
      </w:pPr>
    </w:p>
    <w:sectPr w:rsidR="00305483" w:rsidSect="00DC62AD">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3D0C" w14:textId="77777777" w:rsidR="005D3758" w:rsidRDefault="005D3758" w:rsidP="00DC62AD">
      <w:r>
        <w:separator/>
      </w:r>
    </w:p>
  </w:endnote>
  <w:endnote w:type="continuationSeparator" w:id="0">
    <w:p w14:paraId="2BAAA81C" w14:textId="77777777" w:rsidR="005D3758" w:rsidRDefault="005D3758" w:rsidP="00DC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07198"/>
      <w:docPartObj>
        <w:docPartGallery w:val="Page Numbers (Bottom of Page)"/>
        <w:docPartUnique/>
      </w:docPartObj>
    </w:sdtPr>
    <w:sdtContent>
      <w:p w14:paraId="3913E6A1" w14:textId="5E2653C4" w:rsidR="00DC62AD" w:rsidRPr="00DC62AD" w:rsidRDefault="00DC62AD">
        <w:pPr>
          <w:pStyle w:val="Podnoje"/>
          <w:jc w:val="right"/>
        </w:pPr>
        <w:r w:rsidRPr="00DC62AD">
          <w:fldChar w:fldCharType="begin"/>
        </w:r>
        <w:r w:rsidRPr="00DC62AD">
          <w:instrText>PAGE   \* MERGEFORMAT</w:instrText>
        </w:r>
        <w:r w:rsidRPr="00DC62AD">
          <w:fldChar w:fldCharType="separate"/>
        </w:r>
        <w:r w:rsidRPr="00DC62AD">
          <w:t>2</w:t>
        </w:r>
        <w:r w:rsidRPr="00DC62AD">
          <w:fldChar w:fldCharType="end"/>
        </w:r>
      </w:p>
    </w:sdtContent>
  </w:sdt>
  <w:p w14:paraId="65CB5928" w14:textId="77777777" w:rsidR="00DC62AD" w:rsidRDefault="00DC62A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8C9A" w14:textId="77777777" w:rsidR="005D3758" w:rsidRDefault="005D3758" w:rsidP="00DC62AD">
      <w:r>
        <w:separator/>
      </w:r>
    </w:p>
  </w:footnote>
  <w:footnote w:type="continuationSeparator" w:id="0">
    <w:p w14:paraId="09126A01" w14:textId="77777777" w:rsidR="005D3758" w:rsidRDefault="005D3758" w:rsidP="00DC6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694"/>
    <w:multiLevelType w:val="hybridMultilevel"/>
    <w:tmpl w:val="2FD4417C"/>
    <w:lvl w:ilvl="0" w:tplc="2D7E82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FED1089"/>
    <w:multiLevelType w:val="hybridMultilevel"/>
    <w:tmpl w:val="1AF0D67A"/>
    <w:lvl w:ilvl="0" w:tplc="C3D8EFCC">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1D10FA9"/>
    <w:multiLevelType w:val="hybridMultilevel"/>
    <w:tmpl w:val="51AA6A52"/>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63AB2"/>
    <w:multiLevelType w:val="hybridMultilevel"/>
    <w:tmpl w:val="4B86B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14785B"/>
    <w:multiLevelType w:val="hybridMultilevel"/>
    <w:tmpl w:val="3B6CF8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ACF6EF5"/>
    <w:multiLevelType w:val="hybridMultilevel"/>
    <w:tmpl w:val="6CBE36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793DF5"/>
    <w:multiLevelType w:val="hybridMultilevel"/>
    <w:tmpl w:val="EDBCFBCA"/>
    <w:lvl w:ilvl="0" w:tplc="5BFE7A30">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65745828"/>
    <w:multiLevelType w:val="hybridMultilevel"/>
    <w:tmpl w:val="80F6EA8C"/>
    <w:lvl w:ilvl="0" w:tplc="C3D8EFCC">
      <w:start w:val="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235825090">
    <w:abstractNumId w:val="7"/>
  </w:num>
  <w:num w:numId="2" w16cid:durableId="373891888">
    <w:abstractNumId w:val="3"/>
  </w:num>
  <w:num w:numId="3" w16cid:durableId="47802391">
    <w:abstractNumId w:val="0"/>
  </w:num>
  <w:num w:numId="4" w16cid:durableId="1818299662">
    <w:abstractNumId w:val="1"/>
  </w:num>
  <w:num w:numId="5" w16cid:durableId="541940697">
    <w:abstractNumId w:val="4"/>
  </w:num>
  <w:num w:numId="6" w16cid:durableId="189995555">
    <w:abstractNumId w:val="2"/>
  </w:num>
  <w:num w:numId="7" w16cid:durableId="792552492">
    <w:abstractNumId w:val="6"/>
  </w:num>
  <w:num w:numId="8" w16cid:durableId="176665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57"/>
    <w:rsid w:val="000B2613"/>
    <w:rsid w:val="000C4FDB"/>
    <w:rsid w:val="000C74CC"/>
    <w:rsid w:val="000E56A0"/>
    <w:rsid w:val="00101384"/>
    <w:rsid w:val="00136119"/>
    <w:rsid w:val="00156BEC"/>
    <w:rsid w:val="00185486"/>
    <w:rsid w:val="0018693C"/>
    <w:rsid w:val="001B1A30"/>
    <w:rsid w:val="001B52BA"/>
    <w:rsid w:val="001E7FEE"/>
    <w:rsid w:val="001F160C"/>
    <w:rsid w:val="00214306"/>
    <w:rsid w:val="00216DEA"/>
    <w:rsid w:val="00266CEC"/>
    <w:rsid w:val="002763E9"/>
    <w:rsid w:val="0027670C"/>
    <w:rsid w:val="002B3CD3"/>
    <w:rsid w:val="002E0D0C"/>
    <w:rsid w:val="00305483"/>
    <w:rsid w:val="00351FF5"/>
    <w:rsid w:val="003C7ACE"/>
    <w:rsid w:val="003D5AE8"/>
    <w:rsid w:val="003F56B2"/>
    <w:rsid w:val="004657D9"/>
    <w:rsid w:val="004675ED"/>
    <w:rsid w:val="00475F12"/>
    <w:rsid w:val="00480BBD"/>
    <w:rsid w:val="00491EBB"/>
    <w:rsid w:val="00494DBD"/>
    <w:rsid w:val="004B5E07"/>
    <w:rsid w:val="004C09BE"/>
    <w:rsid w:val="004E36F5"/>
    <w:rsid w:val="0050449C"/>
    <w:rsid w:val="00520F68"/>
    <w:rsid w:val="00544FAC"/>
    <w:rsid w:val="00547ADC"/>
    <w:rsid w:val="005541CF"/>
    <w:rsid w:val="00564FC0"/>
    <w:rsid w:val="00597654"/>
    <w:rsid w:val="005C7D53"/>
    <w:rsid w:val="005D3758"/>
    <w:rsid w:val="005D4F57"/>
    <w:rsid w:val="006143F1"/>
    <w:rsid w:val="006550D8"/>
    <w:rsid w:val="00657B8E"/>
    <w:rsid w:val="0067184E"/>
    <w:rsid w:val="00692409"/>
    <w:rsid w:val="007256C0"/>
    <w:rsid w:val="00756566"/>
    <w:rsid w:val="00761B1B"/>
    <w:rsid w:val="0077412D"/>
    <w:rsid w:val="007B0C23"/>
    <w:rsid w:val="007D27C8"/>
    <w:rsid w:val="007F14DC"/>
    <w:rsid w:val="008362F9"/>
    <w:rsid w:val="0084278D"/>
    <w:rsid w:val="00846304"/>
    <w:rsid w:val="00846C2D"/>
    <w:rsid w:val="008538C8"/>
    <w:rsid w:val="00860EB9"/>
    <w:rsid w:val="00864BC2"/>
    <w:rsid w:val="008C0D09"/>
    <w:rsid w:val="008D5CFA"/>
    <w:rsid w:val="00925048"/>
    <w:rsid w:val="00957371"/>
    <w:rsid w:val="009665C4"/>
    <w:rsid w:val="00990D28"/>
    <w:rsid w:val="009939F7"/>
    <w:rsid w:val="009A3140"/>
    <w:rsid w:val="009E2748"/>
    <w:rsid w:val="009F4E02"/>
    <w:rsid w:val="00A1279B"/>
    <w:rsid w:val="00A25741"/>
    <w:rsid w:val="00A46402"/>
    <w:rsid w:val="00A6272D"/>
    <w:rsid w:val="00AA10F4"/>
    <w:rsid w:val="00AE470D"/>
    <w:rsid w:val="00B03A57"/>
    <w:rsid w:val="00B13A3D"/>
    <w:rsid w:val="00B6181F"/>
    <w:rsid w:val="00B63CC9"/>
    <w:rsid w:val="00B955FA"/>
    <w:rsid w:val="00BB66C2"/>
    <w:rsid w:val="00BE0D9F"/>
    <w:rsid w:val="00BE6C45"/>
    <w:rsid w:val="00BF5D63"/>
    <w:rsid w:val="00C36C66"/>
    <w:rsid w:val="00C43209"/>
    <w:rsid w:val="00C45301"/>
    <w:rsid w:val="00C72750"/>
    <w:rsid w:val="00C94B60"/>
    <w:rsid w:val="00CA218F"/>
    <w:rsid w:val="00CB0BA0"/>
    <w:rsid w:val="00CB3604"/>
    <w:rsid w:val="00CE26B9"/>
    <w:rsid w:val="00D227EB"/>
    <w:rsid w:val="00D4217A"/>
    <w:rsid w:val="00D632E8"/>
    <w:rsid w:val="00D67DFE"/>
    <w:rsid w:val="00D90ECB"/>
    <w:rsid w:val="00DA1368"/>
    <w:rsid w:val="00DA22D0"/>
    <w:rsid w:val="00DA279D"/>
    <w:rsid w:val="00DC62AD"/>
    <w:rsid w:val="00E378A6"/>
    <w:rsid w:val="00E75656"/>
    <w:rsid w:val="00EC0226"/>
    <w:rsid w:val="00FA10C5"/>
    <w:rsid w:val="00FD6E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4DFB"/>
  <w15:chartTrackingRefBased/>
  <w15:docId w15:val="{B05488C0-65DD-469B-8E8C-32176010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5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B03A57"/>
    <w:pPr>
      <w:keepNext/>
      <w:outlineLvl w:val="0"/>
    </w:pPr>
    <w:rPr>
      <w:b/>
      <w:szCs w:val="20"/>
      <w:lang w:val="en-AU" w:eastAsia="en-US"/>
    </w:rPr>
  </w:style>
  <w:style w:type="paragraph" w:styleId="Naslov2">
    <w:name w:val="heading 2"/>
    <w:basedOn w:val="Normal"/>
    <w:next w:val="Normal"/>
    <w:link w:val="Naslov2Char"/>
    <w:unhideWhenUsed/>
    <w:qFormat/>
    <w:rsid w:val="00B03A57"/>
    <w:pPr>
      <w:keepNext/>
      <w:outlineLvl w:val="1"/>
    </w:pPr>
    <w:rPr>
      <w:szCs w:val="20"/>
      <w:lang w:val="en-AU" w:eastAsia="en-US"/>
    </w:rPr>
  </w:style>
  <w:style w:type="paragraph" w:styleId="Naslov5">
    <w:name w:val="heading 5"/>
    <w:basedOn w:val="Normal"/>
    <w:next w:val="Normal"/>
    <w:link w:val="Naslov5Char"/>
    <w:semiHidden/>
    <w:unhideWhenUsed/>
    <w:qFormat/>
    <w:rsid w:val="00B03A57"/>
    <w:pPr>
      <w:keepNext/>
      <w:jc w:val="both"/>
      <w:outlineLvl w:val="4"/>
    </w:pPr>
    <w:rPr>
      <w:b/>
      <w:szCs w:val="20"/>
      <w:lang w:val="en-AU"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03A57"/>
    <w:rPr>
      <w:rFonts w:ascii="Times New Roman" w:eastAsia="Times New Roman" w:hAnsi="Times New Roman" w:cs="Times New Roman"/>
      <w:b/>
      <w:sz w:val="24"/>
      <w:szCs w:val="20"/>
      <w:lang w:val="en-AU"/>
    </w:rPr>
  </w:style>
  <w:style w:type="character" w:customStyle="1" w:styleId="Naslov2Char">
    <w:name w:val="Naslov 2 Char"/>
    <w:basedOn w:val="Zadanifontodlomka"/>
    <w:link w:val="Naslov2"/>
    <w:rsid w:val="00B03A57"/>
    <w:rPr>
      <w:rFonts w:ascii="Times New Roman" w:eastAsia="Times New Roman" w:hAnsi="Times New Roman" w:cs="Times New Roman"/>
      <w:sz w:val="24"/>
      <w:szCs w:val="20"/>
      <w:lang w:val="en-AU"/>
    </w:rPr>
  </w:style>
  <w:style w:type="character" w:customStyle="1" w:styleId="Naslov5Char">
    <w:name w:val="Naslov 5 Char"/>
    <w:basedOn w:val="Zadanifontodlomka"/>
    <w:link w:val="Naslov5"/>
    <w:semiHidden/>
    <w:rsid w:val="00B03A57"/>
    <w:rPr>
      <w:rFonts w:ascii="Times New Roman" w:eastAsia="Times New Roman" w:hAnsi="Times New Roman" w:cs="Times New Roman"/>
      <w:b/>
      <w:sz w:val="24"/>
      <w:szCs w:val="20"/>
      <w:lang w:val="en-AU"/>
    </w:rPr>
  </w:style>
  <w:style w:type="paragraph" w:styleId="Opisslike">
    <w:name w:val="caption"/>
    <w:basedOn w:val="Normal"/>
    <w:next w:val="Normal"/>
    <w:semiHidden/>
    <w:unhideWhenUsed/>
    <w:qFormat/>
    <w:rsid w:val="00B03A57"/>
    <w:rPr>
      <w:b/>
      <w:szCs w:val="20"/>
      <w:lang w:val="en-AU" w:eastAsia="en-US"/>
    </w:rPr>
  </w:style>
  <w:style w:type="character" w:styleId="Hiperveza">
    <w:name w:val="Hyperlink"/>
    <w:basedOn w:val="Zadanifontodlomka"/>
    <w:uiPriority w:val="99"/>
    <w:unhideWhenUsed/>
    <w:rsid w:val="00B03A57"/>
    <w:rPr>
      <w:color w:val="0563C1" w:themeColor="hyperlink"/>
      <w:u w:val="single"/>
    </w:rPr>
  </w:style>
  <w:style w:type="character" w:styleId="Nerijeenospominjanje">
    <w:name w:val="Unresolved Mention"/>
    <w:basedOn w:val="Zadanifontodlomka"/>
    <w:uiPriority w:val="99"/>
    <w:semiHidden/>
    <w:unhideWhenUsed/>
    <w:rsid w:val="00B03A57"/>
    <w:rPr>
      <w:color w:val="605E5C"/>
      <w:shd w:val="clear" w:color="auto" w:fill="E1DFDD"/>
    </w:rPr>
  </w:style>
  <w:style w:type="paragraph" w:styleId="Bezproreda">
    <w:name w:val="No Spacing"/>
    <w:uiPriority w:val="1"/>
    <w:qFormat/>
    <w:rsid w:val="00E378A6"/>
    <w:pPr>
      <w:spacing w:after="0" w:line="240" w:lineRule="auto"/>
    </w:pPr>
    <w:rPr>
      <w:rFonts w:ascii="Times New Roman" w:eastAsia="Times New Roman" w:hAnsi="Times New Roman"/>
      <w:sz w:val="24"/>
    </w:rPr>
  </w:style>
  <w:style w:type="character" w:styleId="Naglaeno">
    <w:name w:val="Strong"/>
    <w:basedOn w:val="Zadanifontodlomka"/>
    <w:uiPriority w:val="22"/>
    <w:qFormat/>
    <w:rsid w:val="00E378A6"/>
    <w:rPr>
      <w:b/>
      <w:bCs/>
    </w:rPr>
  </w:style>
  <w:style w:type="paragraph" w:styleId="Odlomakpopisa">
    <w:name w:val="List Paragraph"/>
    <w:basedOn w:val="Normal"/>
    <w:uiPriority w:val="34"/>
    <w:qFormat/>
    <w:rsid w:val="00E378A6"/>
    <w:pPr>
      <w:ind w:left="720"/>
      <w:contextualSpacing/>
    </w:pPr>
  </w:style>
  <w:style w:type="table" w:styleId="Reetkatablice">
    <w:name w:val="Table Grid"/>
    <w:basedOn w:val="Obinatablica"/>
    <w:uiPriority w:val="59"/>
    <w:rsid w:val="0010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C62AD"/>
    <w:pPr>
      <w:tabs>
        <w:tab w:val="center" w:pos="4536"/>
        <w:tab w:val="right" w:pos="9072"/>
      </w:tabs>
    </w:pPr>
  </w:style>
  <w:style w:type="character" w:customStyle="1" w:styleId="ZaglavljeChar">
    <w:name w:val="Zaglavlje Char"/>
    <w:basedOn w:val="Zadanifontodlomka"/>
    <w:link w:val="Zaglavlje"/>
    <w:uiPriority w:val="99"/>
    <w:rsid w:val="00DC62A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C62AD"/>
    <w:pPr>
      <w:tabs>
        <w:tab w:val="center" w:pos="4536"/>
        <w:tab w:val="right" w:pos="9072"/>
      </w:tabs>
    </w:pPr>
  </w:style>
  <w:style w:type="character" w:customStyle="1" w:styleId="PodnojeChar">
    <w:name w:val="Podnožje Char"/>
    <w:basedOn w:val="Zadanifontodlomka"/>
    <w:link w:val="Podnoje"/>
    <w:uiPriority w:val="99"/>
    <w:rsid w:val="00DC62AD"/>
    <w:rPr>
      <w:rFonts w:ascii="Times New Roman" w:eastAsia="Times New Roman" w:hAnsi="Times New Roman" w:cs="Times New Roman"/>
      <w:sz w:val="24"/>
      <w:szCs w:val="24"/>
      <w:lang w:eastAsia="hr-HR"/>
    </w:rPr>
  </w:style>
  <w:style w:type="table" w:customStyle="1" w:styleId="TableNormal">
    <w:name w:val="Table Normal"/>
    <w:uiPriority w:val="2"/>
    <w:semiHidden/>
    <w:unhideWhenUsed/>
    <w:qFormat/>
    <w:rsid w:val="00864B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eetkatablice1">
    <w:name w:val="Rešetka tablice1"/>
    <w:basedOn w:val="Obinatablica"/>
    <w:next w:val="Reetkatablice"/>
    <w:rsid w:val="00547AD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2B3CD3"/>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hr-HR" w:eastAsia="hr-HR"/>
    </w:rPr>
  </w:style>
  <w:style w:type="paragraph" w:styleId="Sadraj1">
    <w:name w:val="toc 1"/>
    <w:basedOn w:val="Normal"/>
    <w:next w:val="Normal"/>
    <w:autoRedefine/>
    <w:uiPriority w:val="39"/>
    <w:unhideWhenUsed/>
    <w:rsid w:val="002B3CD3"/>
    <w:pPr>
      <w:spacing w:after="100"/>
    </w:pPr>
  </w:style>
  <w:style w:type="paragraph" w:styleId="Sadraj2">
    <w:name w:val="toc 2"/>
    <w:basedOn w:val="Normal"/>
    <w:next w:val="Normal"/>
    <w:autoRedefine/>
    <w:uiPriority w:val="39"/>
    <w:unhideWhenUsed/>
    <w:rsid w:val="003D5AE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n.gov.hr/istaknute-teme/lokalna-samouprava/upute-za-izradu-proracuna-jlp-r-s/2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r.krapina@revizi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13B9-4E53-4B69-84BC-22AB0137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4462</Words>
  <Characters>25439</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Durda</dc:creator>
  <cp:keywords/>
  <dc:description/>
  <cp:lastModifiedBy>Nikolina</cp:lastModifiedBy>
  <cp:revision>83</cp:revision>
  <cp:lastPrinted>2024-10-16T06:10:00Z</cp:lastPrinted>
  <dcterms:created xsi:type="dcterms:W3CDTF">2023-02-10T05:38:00Z</dcterms:created>
  <dcterms:modified xsi:type="dcterms:W3CDTF">2025-10-22T09:27:00Z</dcterms:modified>
</cp:coreProperties>
</file>